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3E0B" w14:textId="77777777" w:rsidR="00895585" w:rsidRPr="00315450" w:rsidRDefault="00895585" w:rsidP="00530FF5">
      <w:pPr>
        <w:rPr>
          <w:rFonts w:ascii="Arial" w:hAnsi="Arial" w:cs="Arial"/>
          <w:b/>
          <w:sz w:val="24"/>
          <w:szCs w:val="24"/>
        </w:rPr>
      </w:pPr>
      <w:r w:rsidRPr="00315450">
        <w:rPr>
          <w:rFonts w:ascii="Arial" w:hAnsi="Arial" w:cs="Arial"/>
          <w:b/>
          <w:sz w:val="24"/>
          <w:szCs w:val="24"/>
        </w:rPr>
        <w:t>Anzeige über die erhöhte Ausbringmenge von Pflanzenschutzmitteln mit kupferhaltigen Wirkstoffen im Weinbau</w:t>
      </w:r>
    </w:p>
    <w:p w14:paraId="75ADF5A6" w14:textId="77777777" w:rsidR="004E448E" w:rsidRPr="0071466A" w:rsidRDefault="004E448E" w:rsidP="00530FF5">
      <w:pPr>
        <w:rPr>
          <w:rFonts w:ascii="Arial" w:hAnsi="Arial" w:cs="Arial"/>
          <w:sz w:val="20"/>
          <w:szCs w:val="20"/>
        </w:rPr>
      </w:pPr>
    </w:p>
    <w:p w14:paraId="2DB5D05A" w14:textId="77777777" w:rsidR="003D3A9B" w:rsidRPr="0071466A" w:rsidRDefault="00AD2951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>An die untere Landwirtschaftsbehörde</w:t>
      </w:r>
      <w:r w:rsidR="003A3EA0" w:rsidRPr="0071466A">
        <w:rPr>
          <w:rFonts w:ascii="Arial" w:hAnsi="Arial" w:cs="Arial"/>
          <w:sz w:val="20"/>
          <w:szCs w:val="20"/>
        </w:rPr>
        <w:t xml:space="preserve"> </w:t>
      </w:r>
      <w:r w:rsidR="003D3A9B" w:rsidRPr="0071466A">
        <w:rPr>
          <w:rFonts w:ascii="Arial" w:hAnsi="Arial" w:cs="Arial"/>
          <w:sz w:val="20"/>
          <w:szCs w:val="20"/>
        </w:rPr>
        <w:t xml:space="preserve">beim </w:t>
      </w:r>
    </w:p>
    <w:p w14:paraId="3306C7AA" w14:textId="77777777" w:rsidR="003D3A9B" w:rsidRPr="0071466A" w:rsidRDefault="003D3A9B" w:rsidP="00530FF5">
      <w:pPr>
        <w:rPr>
          <w:rFonts w:ascii="Arial" w:hAnsi="Arial" w:cs="Arial"/>
          <w:sz w:val="20"/>
          <w:szCs w:val="20"/>
        </w:rPr>
      </w:pPr>
    </w:p>
    <w:p w14:paraId="53C7DD8C" w14:textId="77777777" w:rsidR="00CC3C63" w:rsidRPr="0071466A" w:rsidRDefault="00CC3C63" w:rsidP="00CC3C63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Landratsamt </w:t>
      </w:r>
      <w:r>
        <w:rPr>
          <w:rFonts w:ascii="Arial" w:hAnsi="Arial" w:cs="Arial"/>
          <w:sz w:val="20"/>
          <w:szCs w:val="20"/>
        </w:rPr>
        <w:t>Esslingen</w:t>
      </w:r>
    </w:p>
    <w:p w14:paraId="358B2617" w14:textId="77777777" w:rsidR="00CC3C63" w:rsidRDefault="00CC3C63" w:rsidP="00CC3C63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0"/>
          <w:szCs w:val="20"/>
        </w:rPr>
        <w:t>Sigmaringer</w:t>
      </w:r>
      <w:proofErr w:type="spellEnd"/>
      <w:r>
        <w:rPr>
          <w:rFonts w:ascii="Arial" w:hAnsi="Arial" w:cs="Arial"/>
          <w:sz w:val="20"/>
          <w:szCs w:val="20"/>
        </w:rPr>
        <w:t xml:space="preserve"> Str. 49</w:t>
      </w:r>
    </w:p>
    <w:p w14:paraId="36411F37" w14:textId="77777777" w:rsidR="00CC3C63" w:rsidRPr="0071466A" w:rsidRDefault="00CC3C63" w:rsidP="00CC3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72622 Nürtingen</w:t>
      </w:r>
    </w:p>
    <w:p w14:paraId="4B4429B3" w14:textId="77777777" w:rsidR="001242C6" w:rsidRDefault="001242C6" w:rsidP="00530FF5">
      <w:pPr>
        <w:rPr>
          <w:rFonts w:ascii="Arial" w:hAnsi="Arial" w:cs="Arial"/>
          <w:sz w:val="20"/>
          <w:szCs w:val="20"/>
        </w:rPr>
      </w:pPr>
    </w:p>
    <w:p w14:paraId="34A472EA" w14:textId="77777777" w:rsidR="00CC3C63" w:rsidRPr="0071466A" w:rsidRDefault="00CC3C63" w:rsidP="00530FF5">
      <w:pPr>
        <w:rPr>
          <w:rFonts w:ascii="Arial" w:hAnsi="Arial" w:cs="Arial"/>
          <w:sz w:val="20"/>
          <w:szCs w:val="20"/>
        </w:rPr>
      </w:pPr>
    </w:p>
    <w:p w14:paraId="1100A580" w14:textId="77777777" w:rsidR="009F0612" w:rsidRPr="0071466A" w:rsidRDefault="009848F2" w:rsidP="001E4AA5">
      <w:pPr>
        <w:pStyle w:val="berschrift1"/>
        <w:rPr>
          <w:rFonts w:cs="Arial"/>
          <w:szCs w:val="20"/>
        </w:rPr>
      </w:pPr>
      <w:r w:rsidRPr="0071466A">
        <w:rPr>
          <w:rFonts w:cs="Arial"/>
          <w:szCs w:val="20"/>
        </w:rPr>
        <w:t xml:space="preserve">1. </w:t>
      </w:r>
      <w:r w:rsidR="009F0612" w:rsidRPr="0071466A">
        <w:rPr>
          <w:rFonts w:cs="Arial"/>
          <w:szCs w:val="20"/>
        </w:rPr>
        <w:t>Anzeigender</w:t>
      </w:r>
      <w:r w:rsidR="006C6E30">
        <w:rPr>
          <w:rFonts w:cs="Arial"/>
          <w:szCs w:val="20"/>
        </w:rPr>
        <w:t xml:space="preserve"> / Anzeigende</w:t>
      </w:r>
    </w:p>
    <w:tbl>
      <w:tblPr>
        <w:tblStyle w:val="Tabellenraster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2456"/>
        <w:gridCol w:w="2284"/>
        <w:gridCol w:w="2477"/>
        <w:gridCol w:w="2231"/>
      </w:tblGrid>
      <w:tr w:rsidR="009F0612" w:rsidRPr="0071466A" w14:paraId="218E8105" w14:textId="77777777" w:rsidTr="00C47CDD">
        <w:trPr>
          <w:trHeight w:val="567"/>
        </w:trPr>
        <w:tc>
          <w:tcPr>
            <w:tcW w:w="2456" w:type="dxa"/>
            <w:tcBorders>
              <w:top w:val="nil"/>
            </w:tcBorders>
          </w:tcPr>
          <w:p w14:paraId="60D9E16F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t>Firma</w:t>
            </w:r>
            <w:r w:rsidR="00EC352D"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84" w:type="dxa"/>
            <w:tcBorders>
              <w:top w:val="nil"/>
            </w:tcBorders>
          </w:tcPr>
          <w:p w14:paraId="21AA5989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14:paraId="1F399A10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7FD8219D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12" w:rsidRPr="0071466A" w14:paraId="293EC449" w14:textId="77777777" w:rsidTr="00C47CDD">
        <w:trPr>
          <w:trHeight w:val="567"/>
        </w:trPr>
        <w:tc>
          <w:tcPr>
            <w:tcW w:w="2456" w:type="dxa"/>
          </w:tcPr>
          <w:p w14:paraId="72F84F64" w14:textId="77777777" w:rsidR="009F0612" w:rsidRPr="0071466A" w:rsidRDefault="00EC352D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sym w:font="Wingdings" w:char="F0AC"/>
            </w:r>
            <w:r w:rsidR="009F0612" w:rsidRPr="0071466A">
              <w:rPr>
                <w:rFonts w:ascii="Arial" w:hAnsi="Arial" w:cs="Arial"/>
                <w:sz w:val="16"/>
                <w:szCs w:val="16"/>
              </w:rPr>
              <w:t>Name, Vorname</w:t>
            </w:r>
            <w:r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84" w:type="dxa"/>
          </w:tcPr>
          <w:p w14:paraId="3B0AA078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</w:tcPr>
          <w:p w14:paraId="21BB003A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1E046260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12" w:rsidRPr="0071466A" w14:paraId="0754D571" w14:textId="77777777" w:rsidTr="00C47CDD">
        <w:trPr>
          <w:trHeight w:val="567"/>
        </w:trPr>
        <w:tc>
          <w:tcPr>
            <w:tcW w:w="2456" w:type="dxa"/>
          </w:tcPr>
          <w:p w14:paraId="67FCDBF7" w14:textId="77777777" w:rsidR="009F0612" w:rsidRPr="0071466A" w:rsidRDefault="00EC352D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sym w:font="Wingdings" w:char="F0AC"/>
            </w:r>
            <w:r w:rsidR="009F0612" w:rsidRPr="0071466A">
              <w:rPr>
                <w:rFonts w:ascii="Arial" w:hAnsi="Arial" w:cs="Arial"/>
                <w:sz w:val="16"/>
                <w:szCs w:val="16"/>
              </w:rPr>
              <w:t>Straße, Hausnummer</w:t>
            </w:r>
            <w:r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84" w:type="dxa"/>
          </w:tcPr>
          <w:p w14:paraId="6A8F7C74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</w:tcPr>
          <w:p w14:paraId="1DA6534C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10D64655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12" w:rsidRPr="0071466A" w14:paraId="0F898963" w14:textId="77777777" w:rsidTr="00C47CDD">
        <w:trPr>
          <w:trHeight w:val="567"/>
        </w:trPr>
        <w:tc>
          <w:tcPr>
            <w:tcW w:w="2456" w:type="dxa"/>
          </w:tcPr>
          <w:p w14:paraId="5C8D0A1E" w14:textId="77777777" w:rsidR="009F0612" w:rsidRPr="0071466A" w:rsidRDefault="00EC352D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sym w:font="Wingdings" w:char="F0AC"/>
            </w:r>
            <w:r w:rsidR="009F0612" w:rsidRPr="0071466A">
              <w:rPr>
                <w:rFonts w:ascii="Arial" w:hAnsi="Arial" w:cs="Arial"/>
                <w:sz w:val="16"/>
                <w:szCs w:val="16"/>
              </w:rPr>
              <w:t>PLZ</w:t>
            </w:r>
            <w:r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84" w:type="dxa"/>
          </w:tcPr>
          <w:p w14:paraId="29CA1856" w14:textId="77777777" w:rsidR="009F0612" w:rsidRPr="0071466A" w:rsidRDefault="00EC352D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sym w:font="Wingdings" w:char="F0AC"/>
            </w:r>
            <w:r w:rsidR="009F0612" w:rsidRPr="0071466A">
              <w:rPr>
                <w:rFonts w:ascii="Arial" w:hAnsi="Arial" w:cs="Arial"/>
                <w:sz w:val="16"/>
                <w:szCs w:val="16"/>
              </w:rPr>
              <w:t>Ort</w:t>
            </w:r>
            <w:r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77" w:type="dxa"/>
          </w:tcPr>
          <w:p w14:paraId="49146340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2E305715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12" w:rsidRPr="0071466A" w14:paraId="47AC8AEE" w14:textId="77777777" w:rsidTr="00C47CDD">
        <w:trPr>
          <w:trHeight w:val="567"/>
        </w:trPr>
        <w:tc>
          <w:tcPr>
            <w:tcW w:w="2456" w:type="dxa"/>
          </w:tcPr>
          <w:p w14:paraId="2A685CC1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t>Telefon</w:t>
            </w:r>
            <w:r w:rsidR="00EC352D"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84" w:type="dxa"/>
          </w:tcPr>
          <w:p w14:paraId="00BB1E07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</w:tcPr>
          <w:p w14:paraId="257B91B7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t>Fax</w:t>
            </w:r>
            <w:r w:rsidR="00EC352D"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31" w:type="dxa"/>
          </w:tcPr>
          <w:p w14:paraId="1091E28A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12" w:rsidRPr="0071466A" w14:paraId="1A2F8EE6" w14:textId="77777777" w:rsidTr="00C47CDD">
        <w:trPr>
          <w:trHeight w:val="567"/>
        </w:trPr>
        <w:tc>
          <w:tcPr>
            <w:tcW w:w="2456" w:type="dxa"/>
          </w:tcPr>
          <w:p w14:paraId="415AB6E6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466A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="00EC352D" w:rsidRPr="007146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84" w:type="dxa"/>
          </w:tcPr>
          <w:p w14:paraId="50275D09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</w:tcPr>
          <w:p w14:paraId="1129070D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6E003CF6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12" w:rsidRPr="0071466A" w14:paraId="79756BE9" w14:textId="77777777" w:rsidTr="00C47CDD">
        <w:trPr>
          <w:trHeight w:val="567"/>
        </w:trPr>
        <w:tc>
          <w:tcPr>
            <w:tcW w:w="2456" w:type="dxa"/>
          </w:tcPr>
          <w:p w14:paraId="2D89C5D4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t>EU-Kontrollnummer</w:t>
            </w:r>
          </w:p>
          <w:p w14:paraId="1977194E" w14:textId="77777777" w:rsidR="009F0612" w:rsidRPr="0071466A" w:rsidRDefault="009F0612" w:rsidP="00530FF5">
            <w:pPr>
              <w:rPr>
                <w:rFonts w:ascii="Arial" w:hAnsi="Arial" w:cs="Arial"/>
                <w:sz w:val="24"/>
                <w:szCs w:val="24"/>
              </w:rPr>
            </w:pPr>
            <w:r w:rsidRPr="0071466A">
              <w:rPr>
                <w:rFonts w:ascii="Arial" w:hAnsi="Arial" w:cs="Arial"/>
                <w:sz w:val="24"/>
                <w:szCs w:val="24"/>
              </w:rPr>
              <w:t xml:space="preserve">DE - </w:t>
            </w:r>
          </w:p>
        </w:tc>
        <w:tc>
          <w:tcPr>
            <w:tcW w:w="2284" w:type="dxa"/>
          </w:tcPr>
          <w:p w14:paraId="09127D29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</w:tcPr>
          <w:p w14:paraId="25584DBC" w14:textId="77777777" w:rsidR="009F0612" w:rsidRPr="0071466A" w:rsidRDefault="00EC352D" w:rsidP="00530FF5">
            <w:pPr>
              <w:rPr>
                <w:rFonts w:ascii="Arial" w:hAnsi="Arial" w:cs="Arial"/>
                <w:sz w:val="16"/>
                <w:szCs w:val="16"/>
              </w:rPr>
            </w:pPr>
            <w:r w:rsidRPr="0071466A">
              <w:rPr>
                <w:rFonts w:ascii="Arial" w:hAnsi="Arial" w:cs="Arial"/>
                <w:sz w:val="16"/>
                <w:szCs w:val="16"/>
              </w:rPr>
              <w:sym w:font="Wingdings" w:char="F0AC"/>
            </w:r>
            <w:r w:rsidRPr="0071466A">
              <w:rPr>
                <w:rFonts w:ascii="Arial" w:hAnsi="Arial" w:cs="Arial"/>
                <w:sz w:val="16"/>
                <w:szCs w:val="16"/>
              </w:rPr>
              <w:t>Weinbaukartei-Nummer</w:t>
            </w:r>
          </w:p>
          <w:p w14:paraId="47AAF5D8" w14:textId="23D95A78" w:rsidR="00EC352D" w:rsidRPr="0071466A" w:rsidRDefault="00EC352D" w:rsidP="00530F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4A6436D" w14:textId="77777777" w:rsidR="009F0612" w:rsidRPr="0071466A" w:rsidRDefault="009F0612" w:rsidP="00530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B9B624" w14:textId="77777777" w:rsidR="00EC352D" w:rsidRPr="0071466A" w:rsidRDefault="00EC352D" w:rsidP="00530FF5">
      <w:pPr>
        <w:rPr>
          <w:rFonts w:ascii="Arial" w:hAnsi="Arial" w:cs="Arial"/>
          <w:sz w:val="20"/>
          <w:szCs w:val="20"/>
        </w:rPr>
      </w:pPr>
    </w:p>
    <w:p w14:paraId="778D5D83" w14:textId="77777777" w:rsidR="009F0612" w:rsidRPr="0071466A" w:rsidRDefault="00EC352D" w:rsidP="00530FF5">
      <w:pPr>
        <w:rPr>
          <w:rFonts w:ascii="Arial" w:hAnsi="Arial" w:cs="Arial"/>
          <w:b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AC"/>
      </w:r>
      <w:r w:rsidRPr="0071466A">
        <w:rPr>
          <w:rFonts w:ascii="Arial" w:hAnsi="Arial" w:cs="Arial"/>
          <w:sz w:val="20"/>
          <w:szCs w:val="20"/>
        </w:rPr>
        <w:t xml:space="preserve"> = Erforderliche Angabe</w:t>
      </w:r>
    </w:p>
    <w:p w14:paraId="05497403" w14:textId="77777777" w:rsidR="00AC2014" w:rsidRPr="0071466A" w:rsidRDefault="00AC2014" w:rsidP="00530FF5">
      <w:pPr>
        <w:rPr>
          <w:rFonts w:ascii="Arial" w:hAnsi="Arial" w:cs="Arial"/>
          <w:sz w:val="20"/>
          <w:szCs w:val="20"/>
        </w:rPr>
      </w:pPr>
    </w:p>
    <w:p w14:paraId="6DF44FA9" w14:textId="77777777" w:rsidR="00C47CDD" w:rsidRPr="0071466A" w:rsidRDefault="00C47CDD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b/>
          <w:sz w:val="20"/>
          <w:szCs w:val="20"/>
        </w:rPr>
        <w:t>Mir sind die oben aufgeführten Anwendungsbestimmungen bekannt. Mit meiner Unterschrift bestätige ich, dass</w:t>
      </w:r>
      <w:r w:rsidRPr="0071466A">
        <w:rPr>
          <w:rFonts w:ascii="Arial" w:hAnsi="Arial" w:cs="Arial"/>
          <w:sz w:val="20"/>
          <w:szCs w:val="20"/>
        </w:rPr>
        <w:t xml:space="preserve"> die Angaben in dieser Anzeige (Seite 2 von </w:t>
      </w:r>
      <w:r w:rsidR="00AF4A03">
        <w:rPr>
          <w:rFonts w:ascii="Arial" w:hAnsi="Arial" w:cs="Arial"/>
          <w:sz w:val="20"/>
          <w:szCs w:val="20"/>
        </w:rPr>
        <w:t>3</w:t>
      </w:r>
      <w:r w:rsidRPr="0071466A">
        <w:rPr>
          <w:rFonts w:ascii="Arial" w:hAnsi="Arial" w:cs="Arial"/>
          <w:sz w:val="20"/>
          <w:szCs w:val="20"/>
        </w:rPr>
        <w:t>) im Rahmen meiner Pflanzenschutzmaßnahmen</w:t>
      </w:r>
      <w:r w:rsidR="00AF4A03">
        <w:rPr>
          <w:rFonts w:ascii="Arial" w:hAnsi="Arial" w:cs="Arial"/>
          <w:sz w:val="20"/>
          <w:szCs w:val="20"/>
        </w:rPr>
        <w:t>-D</w:t>
      </w:r>
      <w:r w:rsidRPr="0071466A">
        <w:rPr>
          <w:rFonts w:ascii="Arial" w:hAnsi="Arial" w:cs="Arial"/>
          <w:sz w:val="20"/>
          <w:szCs w:val="20"/>
        </w:rPr>
        <w:t xml:space="preserve">okumentation gemäß § 11 </w:t>
      </w:r>
      <w:proofErr w:type="spellStart"/>
      <w:r w:rsidRPr="0071466A">
        <w:rPr>
          <w:rFonts w:ascii="Arial" w:hAnsi="Arial" w:cs="Arial"/>
          <w:sz w:val="20"/>
          <w:szCs w:val="20"/>
        </w:rPr>
        <w:t>PfSchG</w:t>
      </w:r>
      <w:proofErr w:type="spellEnd"/>
      <w:r w:rsidRPr="0071466A">
        <w:rPr>
          <w:rFonts w:ascii="Arial" w:hAnsi="Arial" w:cs="Arial"/>
          <w:sz w:val="20"/>
          <w:szCs w:val="20"/>
        </w:rPr>
        <w:t xml:space="preserve"> mindestens 5 Jahre lang nachprüf- und einsehbar sind.</w:t>
      </w:r>
    </w:p>
    <w:p w14:paraId="50A0E58E" w14:textId="77777777" w:rsidR="003D3A9B" w:rsidRPr="0071466A" w:rsidRDefault="003D3A9B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>Die Datenschutzhinweise habe ich erhalten und zur Kenntnis genommen.</w:t>
      </w:r>
    </w:p>
    <w:p w14:paraId="47934670" w14:textId="77777777" w:rsidR="00C47CDD" w:rsidRPr="0071466A" w:rsidRDefault="00C47CDD" w:rsidP="00530FF5">
      <w:pPr>
        <w:rPr>
          <w:rFonts w:ascii="Arial" w:hAnsi="Arial" w:cs="Arial"/>
          <w:sz w:val="20"/>
          <w:szCs w:val="20"/>
        </w:rPr>
      </w:pPr>
    </w:p>
    <w:p w14:paraId="780205F5" w14:textId="77777777" w:rsidR="00AC2014" w:rsidRPr="0071466A" w:rsidRDefault="0071466A" w:rsidP="0071466A">
      <w:pPr>
        <w:tabs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60610" w:rsidRPr="0071466A">
        <w:rPr>
          <w:rFonts w:ascii="Arial" w:hAnsi="Arial" w:cs="Arial"/>
          <w:sz w:val="16"/>
          <w:szCs w:val="16"/>
        </w:rPr>
        <w:t xml:space="preserve">Ort | Datum </w:t>
      </w:r>
      <w:r w:rsidR="00160610" w:rsidRPr="0071466A">
        <w:rPr>
          <w:rFonts w:ascii="Arial" w:hAnsi="Arial" w:cs="Arial"/>
          <w:sz w:val="16"/>
          <w:szCs w:val="16"/>
        </w:rPr>
        <w:tab/>
        <w:t>Unterschrift</w:t>
      </w:r>
    </w:p>
    <w:p w14:paraId="00AB8EF4" w14:textId="77777777" w:rsidR="007E20B0" w:rsidRPr="0071466A" w:rsidRDefault="00160610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8B371EA" wp14:editId="6725DAB3">
                <wp:extent cx="6505808" cy="381000"/>
                <wp:effectExtent l="0" t="0" r="0" b="0"/>
                <wp:docPr id="3187" name="Group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808" cy="381000"/>
                          <a:chOff x="0" y="0"/>
                          <a:chExt cx="6505808" cy="3810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374650"/>
                            <a:ext cx="306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00">
                                <a:moveTo>
                                  <a:pt x="0" y="0"/>
                                </a:moveTo>
                                <a:lnTo>
                                  <a:pt x="30607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75" y="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04100" y="374650"/>
                            <a:ext cx="330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708">
                                <a:moveTo>
                                  <a:pt x="0" y="0"/>
                                </a:moveTo>
                                <a:lnTo>
                                  <a:pt x="330170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07432" y="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BE717" id="Group 3187" o:spid="_x0000_s1026" style="width:512.25pt;height:30pt;mso-position-horizontal-relative:char;mso-position-vertical-relative:line" coordsize="6505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">
                <v:shape id="Shape 102" o:spid="_x0000_s1027" style="position:absolute;top:3746;width:30607;height:0;visibility:visible;mso-wrap-style:square;v-text-anchor:top" coordsize="3060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" path="m,l3060700,e" filled="f" strokecolor="#181717" strokeweight=".5pt">
                  <v:stroke miterlimit="1" joinstyle="miter"/>
                  <v:path arrowok="t" textboxrect="0,0,3060700,0"/>
                </v:shape>
                <v:shape id="Shape 103" o:spid="_x0000_s1028" style="position:absolute;left:3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" path="m,l,381000e" filled="f" strokecolor="#181717" strokeweight=".5pt">
                  <v:stroke miterlimit="1" joinstyle="miter"/>
                  <v:path arrowok="t" textboxrect="0,0,0,381000"/>
                </v:shape>
                <v:shape id="Shape 104" o:spid="_x0000_s1029" style="position:absolute;left:32041;top:3746;width:33017;height:0;visibility:visible;mso-wrap-style:square;v-text-anchor:top" coordsize="330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" path="m,l3301708,e" filled="f" strokecolor="#181717" strokeweight=".5pt">
                  <v:stroke miterlimit="1" joinstyle="miter"/>
                  <v:path arrowok="t" textboxrect="0,0,3301708,0"/>
                </v:shape>
                <v:shape id="Shape 105" o:spid="_x0000_s1030" style="position:absolute;left:32074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" path="m,l,381000e" filled="f" strokecolor="#181717" strokeweight=".5pt">
                  <v:stroke miterlimit="1" joinstyle="miter"/>
                  <v:path arrowok="t" textboxrect="0,0,0,381000"/>
                </v:shape>
                <w10:anchorlock/>
              </v:group>
            </w:pict>
          </mc:Fallback>
        </mc:AlternateContent>
      </w:r>
    </w:p>
    <w:p w14:paraId="5097DF5C" w14:textId="77777777" w:rsidR="003D3A9B" w:rsidRPr="0071466A" w:rsidRDefault="003D3A9B" w:rsidP="00530FF5">
      <w:pPr>
        <w:rPr>
          <w:rFonts w:ascii="Arial" w:hAnsi="Arial" w:cs="Arial"/>
          <w:color w:val="181717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br w:type="page"/>
      </w:r>
    </w:p>
    <w:p w14:paraId="6D60B984" w14:textId="77777777" w:rsidR="00AC2014" w:rsidRPr="0071466A" w:rsidRDefault="009848F2" w:rsidP="001E4AA5">
      <w:pPr>
        <w:pStyle w:val="berschrift1"/>
        <w:rPr>
          <w:rFonts w:cs="Arial"/>
          <w:szCs w:val="20"/>
        </w:rPr>
      </w:pPr>
      <w:r w:rsidRPr="0071466A">
        <w:rPr>
          <w:rFonts w:cs="Arial"/>
          <w:szCs w:val="20"/>
        </w:rPr>
        <w:lastRenderedPageBreak/>
        <w:t xml:space="preserve">2. </w:t>
      </w:r>
      <w:r w:rsidRPr="0071466A">
        <w:rPr>
          <w:rFonts w:cs="Arial"/>
          <w:szCs w:val="20"/>
        </w:rPr>
        <w:tab/>
      </w:r>
      <w:r w:rsidR="00160610" w:rsidRPr="0071466A">
        <w:rPr>
          <w:rFonts w:cs="Arial"/>
          <w:szCs w:val="20"/>
        </w:rPr>
        <w:t>Angaben über die Reinkupferaufwandmenge</w:t>
      </w:r>
    </w:p>
    <w:p w14:paraId="32B9F43D" w14:textId="77777777" w:rsidR="001131FD" w:rsidRPr="0071466A" w:rsidRDefault="009848F2" w:rsidP="0048442A">
      <w:pPr>
        <w:pStyle w:val="berschrift2"/>
        <w:rPr>
          <w:szCs w:val="20"/>
        </w:rPr>
      </w:pPr>
      <w:r w:rsidRPr="0071466A">
        <w:rPr>
          <w:szCs w:val="20"/>
        </w:rPr>
        <w:t xml:space="preserve">2.1 </w:t>
      </w:r>
      <w:r w:rsidRPr="0071466A">
        <w:rPr>
          <w:szCs w:val="20"/>
        </w:rPr>
        <w:tab/>
      </w:r>
      <w:r w:rsidR="00160610" w:rsidRPr="0071466A">
        <w:rPr>
          <w:szCs w:val="20"/>
        </w:rPr>
        <w:t>Flächenangaben</w:t>
      </w:r>
    </w:p>
    <w:p w14:paraId="22DBA898" w14:textId="77777777" w:rsidR="001131FD" w:rsidRPr="0071466A" w:rsidRDefault="001131FD" w:rsidP="00484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544"/>
          <w:tab w:val="left" w:pos="6946"/>
        </w:tabs>
        <w:ind w:left="567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b/>
          <w:w w:val="105"/>
          <w:sz w:val="20"/>
          <w:szCs w:val="20"/>
        </w:rPr>
        <w:t>a)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proofErr w:type="spellStart"/>
      <w:r w:rsidRPr="0071466A">
        <w:rPr>
          <w:rFonts w:ascii="Arial" w:hAnsi="Arial" w:cs="Arial"/>
          <w:w w:val="105"/>
          <w:sz w:val="20"/>
          <w:szCs w:val="20"/>
        </w:rPr>
        <w:t>Gesamtrebfläche</w:t>
      </w:r>
      <w:proofErr w:type="spellEnd"/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(in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 xml:space="preserve">ha) </w:t>
      </w:r>
      <w:r w:rsidRPr="0071466A">
        <w:rPr>
          <w:rFonts w:ascii="Arial" w:hAnsi="Arial" w:cs="Arial"/>
          <w:w w:val="105"/>
          <w:sz w:val="20"/>
          <w:szCs w:val="20"/>
        </w:rPr>
        <w:tab/>
      </w:r>
      <w:r w:rsidRPr="0071466A">
        <w:rPr>
          <w:rFonts w:ascii="Arial" w:hAnsi="Arial" w:cs="Arial"/>
          <w:b/>
          <w:w w:val="105"/>
          <w:sz w:val="20"/>
          <w:szCs w:val="20"/>
        </w:rPr>
        <w:t>b)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davon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proofErr w:type="spellStart"/>
      <w:r w:rsidRPr="0071466A">
        <w:rPr>
          <w:rFonts w:ascii="Arial" w:hAnsi="Arial" w:cs="Arial"/>
          <w:w w:val="105"/>
          <w:sz w:val="20"/>
          <w:szCs w:val="20"/>
        </w:rPr>
        <w:t>unbestockt</w:t>
      </w:r>
      <w:proofErr w:type="spellEnd"/>
      <w:r w:rsidRPr="0071466A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(in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 xml:space="preserve">ha) </w:t>
      </w:r>
      <w:r w:rsidRPr="0071466A">
        <w:rPr>
          <w:rFonts w:ascii="Arial" w:hAnsi="Arial" w:cs="Arial"/>
          <w:w w:val="105"/>
          <w:sz w:val="20"/>
          <w:szCs w:val="20"/>
        </w:rPr>
        <w:tab/>
      </w:r>
      <w:r w:rsidR="003D06EC" w:rsidRPr="0071466A">
        <w:rPr>
          <w:rFonts w:ascii="Arial" w:hAnsi="Arial" w:cs="Arial"/>
          <w:b/>
          <w:w w:val="105"/>
          <w:sz w:val="20"/>
          <w:szCs w:val="20"/>
        </w:rPr>
        <w:t>c</w:t>
      </w:r>
      <w:r w:rsidRPr="0071466A">
        <w:rPr>
          <w:rFonts w:ascii="Arial" w:hAnsi="Arial" w:cs="Arial"/>
          <w:b/>
          <w:w w:val="105"/>
          <w:sz w:val="20"/>
          <w:szCs w:val="20"/>
        </w:rPr>
        <w:t>)</w:t>
      </w:r>
      <w:r w:rsidR="003D06EC" w:rsidRPr="0071466A">
        <w:rPr>
          <w:rFonts w:ascii="Arial" w:hAnsi="Arial" w:cs="Arial"/>
          <w:b/>
          <w:w w:val="105"/>
          <w:sz w:val="20"/>
          <w:szCs w:val="20"/>
        </w:rPr>
        <w:t>*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davon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bestockt</w:t>
      </w:r>
      <w:r w:rsidRPr="0071466A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(in</w:t>
      </w:r>
      <w:r w:rsidRPr="0071466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71466A">
        <w:rPr>
          <w:rFonts w:ascii="Arial" w:hAnsi="Arial" w:cs="Arial"/>
          <w:w w:val="105"/>
          <w:sz w:val="20"/>
          <w:szCs w:val="20"/>
        </w:rPr>
        <w:t>ha)</w:t>
      </w:r>
      <w:r w:rsidRPr="0071466A">
        <w:rPr>
          <w:rFonts w:ascii="Arial" w:hAnsi="Arial" w:cs="Arial"/>
          <w:w w:val="105"/>
          <w:sz w:val="20"/>
          <w:szCs w:val="20"/>
        </w:rPr>
        <w:br/>
      </w:r>
      <w:r w:rsidRPr="0071466A">
        <w:rPr>
          <w:rFonts w:ascii="Arial" w:hAnsi="Arial" w:cs="Arial"/>
          <w:w w:val="105"/>
          <w:sz w:val="20"/>
          <w:szCs w:val="20"/>
        </w:rPr>
        <w:br/>
      </w:r>
      <w:r w:rsidR="0048442A" w:rsidRPr="0071466A">
        <w:rPr>
          <w:rFonts w:ascii="Arial" w:hAnsi="Arial" w:cs="Arial"/>
          <w:w w:val="105"/>
          <w:sz w:val="20"/>
          <w:szCs w:val="20"/>
        </w:rPr>
        <w:t>|______________________</w:t>
      </w:r>
      <w:r w:rsidRPr="0071466A">
        <w:rPr>
          <w:rFonts w:ascii="Arial" w:hAnsi="Arial" w:cs="Arial"/>
          <w:w w:val="105"/>
          <w:sz w:val="20"/>
          <w:szCs w:val="20"/>
        </w:rPr>
        <w:tab/>
      </w:r>
      <w:r w:rsidR="0048442A" w:rsidRPr="0071466A">
        <w:rPr>
          <w:rFonts w:ascii="Arial" w:hAnsi="Arial" w:cs="Arial"/>
          <w:w w:val="105"/>
          <w:sz w:val="20"/>
          <w:szCs w:val="20"/>
        </w:rPr>
        <w:t>|</w:t>
      </w:r>
      <w:r w:rsidR="003D06EC" w:rsidRPr="0071466A">
        <w:rPr>
          <w:rFonts w:ascii="Arial" w:hAnsi="Arial" w:cs="Arial"/>
          <w:w w:val="105"/>
          <w:sz w:val="20"/>
          <w:szCs w:val="20"/>
        </w:rPr>
        <w:t>_________________</w:t>
      </w:r>
      <w:r w:rsidR="0048442A" w:rsidRPr="0071466A">
        <w:rPr>
          <w:rFonts w:ascii="Arial" w:hAnsi="Arial" w:cs="Arial"/>
          <w:w w:val="105"/>
          <w:sz w:val="20"/>
          <w:szCs w:val="20"/>
        </w:rPr>
        <w:t>_______</w:t>
      </w:r>
      <w:r w:rsidRPr="0071466A">
        <w:rPr>
          <w:rFonts w:ascii="Arial" w:hAnsi="Arial" w:cs="Arial"/>
          <w:w w:val="105"/>
          <w:sz w:val="20"/>
          <w:szCs w:val="20"/>
        </w:rPr>
        <w:tab/>
      </w:r>
      <w:r w:rsidR="0048442A" w:rsidRPr="0071466A">
        <w:rPr>
          <w:rFonts w:ascii="Arial" w:hAnsi="Arial" w:cs="Arial"/>
          <w:w w:val="105"/>
          <w:sz w:val="20"/>
          <w:szCs w:val="20"/>
        </w:rPr>
        <w:t>|</w:t>
      </w:r>
      <w:r w:rsidR="003D06EC" w:rsidRPr="0071466A">
        <w:rPr>
          <w:rFonts w:ascii="Arial" w:hAnsi="Arial" w:cs="Arial"/>
          <w:w w:val="105"/>
          <w:sz w:val="20"/>
          <w:szCs w:val="20"/>
        </w:rPr>
        <w:t>______________</w:t>
      </w:r>
      <w:r w:rsidR="0048442A" w:rsidRPr="0071466A">
        <w:rPr>
          <w:rFonts w:ascii="Arial" w:hAnsi="Arial" w:cs="Arial"/>
          <w:w w:val="105"/>
          <w:sz w:val="20"/>
          <w:szCs w:val="20"/>
        </w:rPr>
        <w:t>________</w:t>
      </w:r>
    </w:p>
    <w:p w14:paraId="5FDFA04A" w14:textId="77777777" w:rsidR="0006233E" w:rsidRPr="0071466A" w:rsidRDefault="0006233E" w:rsidP="001E4AA5">
      <w:pPr>
        <w:ind w:left="709"/>
        <w:rPr>
          <w:rFonts w:ascii="Arial" w:hAnsi="Arial" w:cs="Arial"/>
          <w:sz w:val="20"/>
          <w:szCs w:val="20"/>
        </w:rPr>
      </w:pPr>
    </w:p>
    <w:p w14:paraId="21152541" w14:textId="77777777" w:rsidR="00AC2014" w:rsidRPr="0071466A" w:rsidRDefault="00160610" w:rsidP="001E4AA5">
      <w:pPr>
        <w:ind w:left="709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Meine gesamte bestockte Rebfläche wurde mit der </w:t>
      </w:r>
      <w:r w:rsidRPr="0071466A">
        <w:rPr>
          <w:rFonts w:ascii="Arial" w:hAnsi="Arial" w:cs="Arial"/>
          <w:sz w:val="20"/>
          <w:szCs w:val="20"/>
          <w:u w:val="single" w:color="181717"/>
        </w:rPr>
        <w:t>einheitlich erhöhten Reinkupferaufwand</w:t>
      </w:r>
      <w:r w:rsidR="00304905" w:rsidRPr="0071466A">
        <w:rPr>
          <w:rFonts w:ascii="Arial" w:hAnsi="Arial" w:cs="Arial"/>
          <w:sz w:val="20"/>
          <w:szCs w:val="20"/>
          <w:u w:val="single" w:color="181717"/>
        </w:rPr>
        <w:softHyphen/>
      </w:r>
      <w:r w:rsidRPr="0071466A">
        <w:rPr>
          <w:rFonts w:ascii="Arial" w:hAnsi="Arial" w:cs="Arial"/>
          <w:sz w:val="20"/>
          <w:szCs w:val="20"/>
          <w:u w:val="single" w:color="181717"/>
        </w:rPr>
        <w:t>menge</w:t>
      </w:r>
      <w:r w:rsidRPr="0071466A">
        <w:rPr>
          <w:rFonts w:ascii="Arial" w:hAnsi="Arial" w:cs="Arial"/>
          <w:sz w:val="20"/>
          <w:szCs w:val="20"/>
        </w:rPr>
        <w:t xml:space="preserve"> behandelt:</w:t>
      </w:r>
    </w:p>
    <w:p w14:paraId="4342F772" w14:textId="77777777" w:rsidR="00D41508" w:rsidRPr="0071466A" w:rsidRDefault="00D41508" w:rsidP="0048442A">
      <w:pPr>
        <w:tabs>
          <w:tab w:val="left" w:pos="1701"/>
        </w:tabs>
        <w:ind w:left="709"/>
        <w:rPr>
          <w:rFonts w:ascii="Arial" w:hAnsi="Arial" w:cs="Arial"/>
          <w:b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="00160610" w:rsidRPr="0071466A">
        <w:rPr>
          <w:rFonts w:ascii="Arial" w:hAnsi="Arial" w:cs="Arial"/>
          <w:b/>
          <w:sz w:val="20"/>
          <w:szCs w:val="20"/>
        </w:rPr>
        <w:t xml:space="preserve"> ja </w:t>
      </w:r>
      <w:r w:rsidR="00160610" w:rsidRPr="0071466A">
        <w:rPr>
          <w:rFonts w:ascii="Arial" w:hAnsi="Arial" w:cs="Arial"/>
          <w:b/>
          <w:sz w:val="20"/>
          <w:szCs w:val="20"/>
        </w:rPr>
        <w:tab/>
      </w:r>
      <w:r w:rsidRPr="0071466A">
        <w:rPr>
          <w:rFonts w:ascii="Arial" w:hAnsi="Arial" w:cs="Arial"/>
          <w:sz w:val="20"/>
          <w:szCs w:val="20"/>
        </w:rPr>
        <w:t>►</w:t>
      </w:r>
      <w:r w:rsidR="00160610" w:rsidRPr="0071466A">
        <w:rPr>
          <w:rFonts w:ascii="Arial" w:hAnsi="Arial" w:cs="Arial"/>
          <w:sz w:val="20"/>
          <w:szCs w:val="20"/>
        </w:rPr>
        <w:t xml:space="preserve"> weiter bei 2.2 </w:t>
      </w:r>
    </w:p>
    <w:p w14:paraId="7B1B992B" w14:textId="77777777" w:rsidR="00AC2014" w:rsidRPr="0071466A" w:rsidRDefault="00D41508" w:rsidP="0048442A">
      <w:pPr>
        <w:tabs>
          <w:tab w:val="left" w:pos="1701"/>
        </w:tabs>
        <w:ind w:left="709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="00160610" w:rsidRPr="0071466A">
        <w:rPr>
          <w:rFonts w:ascii="Arial" w:hAnsi="Arial" w:cs="Arial"/>
          <w:b/>
          <w:sz w:val="20"/>
          <w:szCs w:val="20"/>
        </w:rPr>
        <w:t xml:space="preserve"> nein </w:t>
      </w:r>
      <w:r w:rsidR="00160610" w:rsidRPr="0071466A">
        <w:rPr>
          <w:rFonts w:ascii="Arial" w:hAnsi="Arial" w:cs="Arial"/>
          <w:b/>
          <w:sz w:val="20"/>
          <w:szCs w:val="20"/>
        </w:rPr>
        <w:tab/>
      </w:r>
      <w:r w:rsidRPr="0071466A">
        <w:rPr>
          <w:rFonts w:ascii="Arial" w:hAnsi="Arial" w:cs="Arial"/>
          <w:sz w:val="20"/>
          <w:szCs w:val="20"/>
        </w:rPr>
        <w:t>►</w:t>
      </w:r>
      <w:r w:rsidR="00160610" w:rsidRPr="0071466A">
        <w:rPr>
          <w:rFonts w:ascii="Arial" w:hAnsi="Arial" w:cs="Arial"/>
          <w:sz w:val="20"/>
          <w:szCs w:val="20"/>
        </w:rPr>
        <w:t xml:space="preserve"> weiter bei 2.3</w:t>
      </w:r>
    </w:p>
    <w:p w14:paraId="6CCFEEC5" w14:textId="77777777" w:rsidR="00304905" w:rsidRPr="0071466A" w:rsidRDefault="009848F2" w:rsidP="0048442A">
      <w:pPr>
        <w:pStyle w:val="berschrift2"/>
        <w:rPr>
          <w:szCs w:val="20"/>
        </w:rPr>
      </w:pPr>
      <w:r w:rsidRPr="0071466A">
        <w:rPr>
          <w:szCs w:val="20"/>
        </w:rPr>
        <w:t>2.2</w:t>
      </w:r>
      <w:r w:rsidRPr="0071466A">
        <w:rPr>
          <w:szCs w:val="20"/>
        </w:rPr>
        <w:tab/>
      </w:r>
      <w:r w:rsidR="00304905" w:rsidRPr="0071466A">
        <w:rPr>
          <w:szCs w:val="20"/>
        </w:rPr>
        <w:t xml:space="preserve">Einheitlich erhöhte Reinkupferaufwandmenge auf der gesamten bestockten Rebfläche ausgebrachte </w:t>
      </w:r>
      <w:proofErr w:type="spellStart"/>
      <w:r w:rsidR="00304905" w:rsidRPr="0071466A">
        <w:rPr>
          <w:szCs w:val="20"/>
        </w:rPr>
        <w:t>Cu</w:t>
      </w:r>
      <w:proofErr w:type="spellEnd"/>
      <w:r w:rsidR="00304905" w:rsidRPr="0071466A">
        <w:rPr>
          <w:szCs w:val="20"/>
        </w:rPr>
        <w:t>-Menge.</w:t>
      </w:r>
    </w:p>
    <w:p w14:paraId="0007E7FE" w14:textId="77777777" w:rsidR="00304905" w:rsidRPr="0071466A" w:rsidRDefault="00304905" w:rsidP="001E4AA5">
      <w:pPr>
        <w:ind w:left="709"/>
        <w:rPr>
          <w:rFonts w:ascii="Arial" w:hAnsi="Arial" w:cs="Arial"/>
          <w:w w:val="105"/>
          <w:sz w:val="20"/>
          <w:szCs w:val="20"/>
        </w:rPr>
      </w:pPr>
      <w:r w:rsidRPr="0071466A">
        <w:rPr>
          <w:rFonts w:ascii="Arial" w:hAnsi="Arial" w:cs="Arial"/>
          <w:w w:val="105"/>
          <w:sz w:val="20"/>
          <w:szCs w:val="20"/>
        </w:rPr>
        <w:t xml:space="preserve">kg/ha im </w:t>
      </w:r>
      <w:r w:rsidR="003D06EC" w:rsidRPr="0071466A">
        <w:rPr>
          <w:rFonts w:ascii="Arial" w:hAnsi="Arial" w:cs="Arial"/>
          <w:w w:val="105"/>
          <w:sz w:val="20"/>
          <w:szCs w:val="20"/>
        </w:rPr>
        <w:t>Jahr der Meldung</w:t>
      </w:r>
      <w:r w:rsidRPr="0071466A">
        <w:rPr>
          <w:rFonts w:ascii="Arial" w:hAnsi="Arial" w:cs="Arial"/>
          <w:w w:val="105"/>
          <w:sz w:val="20"/>
          <w:szCs w:val="20"/>
        </w:rPr>
        <w:br/>
      </w:r>
      <w:r w:rsidRPr="0071466A">
        <w:rPr>
          <w:rFonts w:ascii="Arial" w:hAnsi="Arial" w:cs="Arial"/>
          <w:w w:val="105"/>
          <w:sz w:val="20"/>
          <w:szCs w:val="20"/>
        </w:rPr>
        <w:br/>
        <w:t>_____________________________</w:t>
      </w:r>
    </w:p>
    <w:p w14:paraId="4A5BA874" w14:textId="77777777" w:rsidR="001E4AA5" w:rsidRPr="0071466A" w:rsidRDefault="001E4AA5" w:rsidP="001E4AA5">
      <w:pPr>
        <w:ind w:left="709"/>
        <w:rPr>
          <w:rFonts w:ascii="Arial" w:hAnsi="Arial" w:cs="Arial"/>
          <w:w w:val="105"/>
          <w:sz w:val="20"/>
          <w:szCs w:val="20"/>
        </w:rPr>
      </w:pPr>
    </w:p>
    <w:p w14:paraId="395A584A" w14:textId="77777777" w:rsidR="00304905" w:rsidRPr="0071466A" w:rsidRDefault="00304905" w:rsidP="001E4AA5">
      <w:pPr>
        <w:ind w:left="1134" w:hanging="426"/>
        <w:rPr>
          <w:rFonts w:ascii="Arial" w:hAnsi="Arial" w:cs="Arial"/>
          <w:b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="00530FF5" w:rsidRPr="0071466A">
        <w:rPr>
          <w:rFonts w:ascii="Arial" w:hAnsi="Arial" w:cs="Arial"/>
          <w:sz w:val="20"/>
          <w:szCs w:val="20"/>
        </w:rPr>
        <w:t xml:space="preserve"> </w:t>
      </w:r>
      <w:r w:rsidR="00530FF5" w:rsidRPr="0071466A">
        <w:rPr>
          <w:rFonts w:ascii="Arial" w:hAnsi="Arial" w:cs="Arial"/>
          <w:sz w:val="20"/>
          <w:szCs w:val="20"/>
        </w:rPr>
        <w:tab/>
      </w:r>
      <w:r w:rsidRPr="0071466A">
        <w:rPr>
          <w:rFonts w:ascii="Arial" w:hAnsi="Arial" w:cs="Arial"/>
          <w:sz w:val="20"/>
          <w:szCs w:val="20"/>
        </w:rPr>
        <w:t xml:space="preserve">Im Fünfjahresdurchschnitt wurde die Gesamtreinkupferaufwandmenge von </w:t>
      </w:r>
      <w:r w:rsidRPr="0071466A">
        <w:rPr>
          <w:rFonts w:ascii="Arial" w:hAnsi="Arial" w:cs="Arial"/>
          <w:b/>
          <w:sz w:val="20"/>
          <w:szCs w:val="20"/>
        </w:rPr>
        <w:t>17,5 kg/ha nicht überschritten</w:t>
      </w:r>
    </w:p>
    <w:p w14:paraId="59F9D072" w14:textId="77777777" w:rsidR="00304905" w:rsidRPr="0071466A" w:rsidRDefault="009848F2" w:rsidP="0048442A">
      <w:pPr>
        <w:pStyle w:val="berschrift2"/>
        <w:rPr>
          <w:szCs w:val="20"/>
        </w:rPr>
      </w:pPr>
      <w:r w:rsidRPr="0071466A">
        <w:rPr>
          <w:szCs w:val="20"/>
        </w:rPr>
        <w:t>2.3</w:t>
      </w:r>
      <w:r w:rsidRPr="0071466A">
        <w:rPr>
          <w:szCs w:val="20"/>
        </w:rPr>
        <w:tab/>
      </w:r>
      <w:r w:rsidR="00304905" w:rsidRPr="0071466A">
        <w:rPr>
          <w:szCs w:val="20"/>
        </w:rPr>
        <w:t xml:space="preserve">Erhöhte Reinkupferaufwandmenge </w:t>
      </w:r>
      <w:r w:rsidR="00E561CE" w:rsidRPr="0071466A">
        <w:rPr>
          <w:szCs w:val="20"/>
        </w:rPr>
        <w:t xml:space="preserve">im Jahr der Meldung </w:t>
      </w:r>
      <w:r w:rsidR="00304905" w:rsidRPr="0071466A">
        <w:rPr>
          <w:szCs w:val="20"/>
        </w:rPr>
        <w:t>auf (einer) Teilfläche(n)</w:t>
      </w:r>
    </w:p>
    <w:p w14:paraId="5FBE7CC7" w14:textId="77777777" w:rsidR="00304905" w:rsidRPr="0071466A" w:rsidRDefault="00304905" w:rsidP="001E4AA5">
      <w:pPr>
        <w:ind w:left="709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b/>
          <w:sz w:val="20"/>
          <w:szCs w:val="20"/>
        </w:rPr>
        <w:t>Hinweis</w:t>
      </w:r>
      <w:r w:rsidRPr="0071466A">
        <w:rPr>
          <w:rFonts w:ascii="Arial" w:hAnsi="Arial" w:cs="Arial"/>
          <w:sz w:val="20"/>
          <w:szCs w:val="20"/>
        </w:rPr>
        <w:t>:</w:t>
      </w:r>
      <w:r w:rsidR="0071466A"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 xml:space="preserve">Bei (einer) Teilflächenbehandlung(en) mit einer erhöhten Reinkupferaufwandmenge wurde auf die Auflistung einzelner Schläge in dieser Anzeige verzichtet. Die Dokumentation über den Betriebsmitteleinsatz ist - wie nach § 11 PflSchG gefordert - </w:t>
      </w:r>
      <w:proofErr w:type="spellStart"/>
      <w:r w:rsidRPr="0071466A">
        <w:rPr>
          <w:rFonts w:ascii="Arial" w:hAnsi="Arial" w:cs="Arial"/>
          <w:sz w:val="20"/>
          <w:szCs w:val="20"/>
        </w:rPr>
        <w:t>einseh</w:t>
      </w:r>
      <w:proofErr w:type="spellEnd"/>
      <w:r w:rsidRPr="0071466A">
        <w:rPr>
          <w:rFonts w:ascii="Arial" w:hAnsi="Arial" w:cs="Arial"/>
          <w:sz w:val="20"/>
          <w:szCs w:val="20"/>
        </w:rPr>
        <w:t>- und nachprüfbar.</w:t>
      </w:r>
    </w:p>
    <w:p w14:paraId="29C5D68E" w14:textId="77777777" w:rsidR="003D06EC" w:rsidRPr="0071466A" w:rsidRDefault="009848F2" w:rsidP="0048442A">
      <w:pPr>
        <w:pStyle w:val="berschrift3"/>
        <w:rPr>
          <w:szCs w:val="20"/>
        </w:rPr>
      </w:pPr>
      <w:r w:rsidRPr="0071466A">
        <w:rPr>
          <w:szCs w:val="20"/>
        </w:rPr>
        <w:t>2.3.1</w:t>
      </w:r>
      <w:r w:rsidRPr="0071466A">
        <w:rPr>
          <w:szCs w:val="20"/>
        </w:rPr>
        <w:tab/>
      </w:r>
      <w:r w:rsidR="00E561CE" w:rsidRPr="0071466A">
        <w:rPr>
          <w:szCs w:val="20"/>
        </w:rPr>
        <w:t>B</w:t>
      </w:r>
      <w:r w:rsidR="003D06EC" w:rsidRPr="0071466A">
        <w:rPr>
          <w:szCs w:val="20"/>
        </w:rPr>
        <w:t xml:space="preserve">ehandlung </w:t>
      </w:r>
      <w:r w:rsidR="00E561CE" w:rsidRPr="0071466A">
        <w:rPr>
          <w:szCs w:val="20"/>
        </w:rPr>
        <w:t xml:space="preserve">Teilfläche </w:t>
      </w:r>
      <w:r w:rsidR="003D06EC" w:rsidRPr="0071466A">
        <w:rPr>
          <w:szCs w:val="20"/>
        </w:rPr>
        <w:t>I</w:t>
      </w:r>
    </w:p>
    <w:p w14:paraId="25C4CD85" w14:textId="77777777" w:rsidR="00530FF5" w:rsidRPr="0071466A" w:rsidRDefault="00530FF5" w:rsidP="001E4AA5">
      <w:pPr>
        <w:tabs>
          <w:tab w:val="left" w:pos="5670"/>
        </w:tabs>
        <w:ind w:left="1418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von 2.1 c)* behandelt (in ha) </w:t>
      </w:r>
      <w:r w:rsidRPr="0071466A">
        <w:rPr>
          <w:rFonts w:ascii="Arial" w:hAnsi="Arial" w:cs="Arial"/>
          <w:sz w:val="20"/>
          <w:szCs w:val="20"/>
        </w:rPr>
        <w:tab/>
        <w:t>ausgebrachte Rein-</w:t>
      </w:r>
      <w:proofErr w:type="spellStart"/>
      <w:r w:rsidRPr="0071466A">
        <w:rPr>
          <w:rFonts w:ascii="Arial" w:hAnsi="Arial" w:cs="Arial"/>
          <w:sz w:val="20"/>
          <w:szCs w:val="20"/>
        </w:rPr>
        <w:t>Cu</w:t>
      </w:r>
      <w:proofErr w:type="spellEnd"/>
      <w:r w:rsidRPr="0071466A">
        <w:rPr>
          <w:rFonts w:ascii="Arial" w:hAnsi="Arial" w:cs="Arial"/>
          <w:sz w:val="20"/>
          <w:szCs w:val="20"/>
        </w:rPr>
        <w:t>-Menge (kg/ha)</w:t>
      </w:r>
      <w:r w:rsidRPr="0071466A">
        <w:rPr>
          <w:rFonts w:ascii="Arial" w:hAnsi="Arial" w:cs="Arial"/>
          <w:sz w:val="20"/>
          <w:szCs w:val="20"/>
        </w:rPr>
        <w:br/>
      </w:r>
      <w:r w:rsidRPr="0071466A">
        <w:rPr>
          <w:rFonts w:ascii="Arial" w:hAnsi="Arial" w:cs="Arial"/>
          <w:sz w:val="20"/>
          <w:szCs w:val="20"/>
        </w:rPr>
        <w:br/>
        <w:t>________________________________</w:t>
      </w:r>
      <w:r w:rsidRPr="0071466A">
        <w:rPr>
          <w:rFonts w:ascii="Arial" w:hAnsi="Arial" w:cs="Arial"/>
          <w:sz w:val="20"/>
          <w:szCs w:val="20"/>
        </w:rPr>
        <w:tab/>
        <w:t>________________________________</w:t>
      </w:r>
    </w:p>
    <w:p w14:paraId="0A0D292F" w14:textId="77777777" w:rsidR="0006233E" w:rsidRPr="0071466A" w:rsidRDefault="0006233E" w:rsidP="0071466A">
      <w:pPr>
        <w:spacing w:before="120"/>
        <w:ind w:left="1702" w:hanging="284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Im Fünfjahresdurchschnitt wurde die Gesamtreinkupferaufwandmenge von 17,5 kg/ha nicht überschritten. </w:t>
      </w:r>
    </w:p>
    <w:p w14:paraId="35F19697" w14:textId="414E2D37" w:rsidR="00530FF5" w:rsidRPr="0071466A" w:rsidRDefault="0006233E" w:rsidP="001E4AA5">
      <w:pPr>
        <w:ind w:left="1701" w:hanging="283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Der Fünfjahresdurchschnitt ist nicht ermittelbar, da sich diese (Teil-) Rebfläche erst seit </w:t>
      </w:r>
      <w:r w:rsidR="00FB2F4A" w:rsidRPr="00FB2F4A">
        <w:rPr>
          <w:rFonts w:ascii="Arial" w:hAnsi="Arial" w:cs="Arial"/>
          <w:sz w:val="20"/>
          <w:szCs w:val="20"/>
        </w:rPr>
        <w:t>weniger als 5 Jahren</w:t>
      </w:r>
      <w:r w:rsidR="006E387B">
        <w:rPr>
          <w:rFonts w:ascii="Arial" w:hAnsi="Arial" w:cs="Arial"/>
          <w:sz w:val="20"/>
          <w:szCs w:val="20"/>
        </w:rPr>
        <w:t xml:space="preserve"> i</w:t>
      </w:r>
      <w:r w:rsidRPr="0071466A">
        <w:rPr>
          <w:rFonts w:ascii="Arial" w:hAnsi="Arial" w:cs="Arial"/>
          <w:sz w:val="20"/>
          <w:szCs w:val="20"/>
        </w:rPr>
        <w:t>m Besitz oder in der Pachtbewirtschaftung befindet.</w:t>
      </w:r>
    </w:p>
    <w:p w14:paraId="102AE045" w14:textId="77777777" w:rsidR="0006233E" w:rsidRPr="0071466A" w:rsidRDefault="0006233E" w:rsidP="0048442A">
      <w:pPr>
        <w:pStyle w:val="berschrift3"/>
        <w:rPr>
          <w:szCs w:val="20"/>
        </w:rPr>
      </w:pPr>
      <w:r w:rsidRPr="0071466A">
        <w:rPr>
          <w:szCs w:val="20"/>
        </w:rPr>
        <w:t>2.3.2</w:t>
      </w:r>
      <w:r w:rsidRPr="0071466A">
        <w:rPr>
          <w:szCs w:val="20"/>
        </w:rPr>
        <w:tab/>
      </w:r>
      <w:r w:rsidR="00E561CE" w:rsidRPr="0071466A">
        <w:rPr>
          <w:szCs w:val="20"/>
        </w:rPr>
        <w:t>Behandlung Teilf</w:t>
      </w:r>
      <w:r w:rsidRPr="0071466A">
        <w:rPr>
          <w:szCs w:val="20"/>
        </w:rPr>
        <w:t>läche</w:t>
      </w:r>
      <w:r w:rsidR="00E561CE" w:rsidRPr="0071466A">
        <w:rPr>
          <w:szCs w:val="20"/>
        </w:rPr>
        <w:t xml:space="preserve"> II</w:t>
      </w:r>
    </w:p>
    <w:p w14:paraId="57EA807F" w14:textId="77777777" w:rsidR="0048442A" w:rsidRPr="0071466A" w:rsidRDefault="0048442A" w:rsidP="0048442A">
      <w:pPr>
        <w:tabs>
          <w:tab w:val="left" w:pos="5670"/>
        </w:tabs>
        <w:ind w:left="1418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von 2.1 c)* behandelt (in ha) </w:t>
      </w:r>
      <w:r w:rsidRPr="0071466A">
        <w:rPr>
          <w:rFonts w:ascii="Arial" w:hAnsi="Arial" w:cs="Arial"/>
          <w:sz w:val="20"/>
          <w:szCs w:val="20"/>
        </w:rPr>
        <w:tab/>
        <w:t>ausgebrachte Rein-</w:t>
      </w:r>
      <w:proofErr w:type="spellStart"/>
      <w:r w:rsidRPr="0071466A">
        <w:rPr>
          <w:rFonts w:ascii="Arial" w:hAnsi="Arial" w:cs="Arial"/>
          <w:sz w:val="20"/>
          <w:szCs w:val="20"/>
        </w:rPr>
        <w:t>Cu</w:t>
      </w:r>
      <w:proofErr w:type="spellEnd"/>
      <w:r w:rsidRPr="0071466A">
        <w:rPr>
          <w:rFonts w:ascii="Arial" w:hAnsi="Arial" w:cs="Arial"/>
          <w:sz w:val="20"/>
          <w:szCs w:val="20"/>
        </w:rPr>
        <w:t>-Menge (kg/ha)</w:t>
      </w:r>
      <w:r w:rsidRPr="0071466A">
        <w:rPr>
          <w:rFonts w:ascii="Arial" w:hAnsi="Arial" w:cs="Arial"/>
          <w:sz w:val="20"/>
          <w:szCs w:val="20"/>
        </w:rPr>
        <w:br/>
      </w:r>
      <w:r w:rsidRPr="0071466A">
        <w:rPr>
          <w:rFonts w:ascii="Arial" w:hAnsi="Arial" w:cs="Arial"/>
          <w:sz w:val="20"/>
          <w:szCs w:val="20"/>
        </w:rPr>
        <w:br/>
        <w:t>________________________________</w:t>
      </w:r>
      <w:r w:rsidRPr="0071466A">
        <w:rPr>
          <w:rFonts w:ascii="Arial" w:hAnsi="Arial" w:cs="Arial"/>
          <w:sz w:val="20"/>
          <w:szCs w:val="20"/>
        </w:rPr>
        <w:tab/>
        <w:t>________________________________</w:t>
      </w:r>
    </w:p>
    <w:p w14:paraId="5A506246" w14:textId="77777777" w:rsidR="0048442A" w:rsidRPr="0071466A" w:rsidRDefault="0048442A" w:rsidP="0048442A">
      <w:pPr>
        <w:spacing w:before="120"/>
        <w:ind w:left="1702" w:hanging="284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Im Fünfjahresdurchschnitt wurde die Gesamtreinkupferaufwandmenge von 17,5 kg/ha nicht überschritten. </w:t>
      </w:r>
    </w:p>
    <w:p w14:paraId="58D704F9" w14:textId="5A7D78C3" w:rsidR="0048442A" w:rsidRPr="0071466A" w:rsidRDefault="0048442A" w:rsidP="0048442A">
      <w:pPr>
        <w:ind w:left="1701" w:hanging="283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Der Fünfjahresdurchschnitt ist nicht ermittelbar, da sich diese (Teil-) Rebfläche erst seit </w:t>
      </w:r>
      <w:r w:rsidR="00D62C4C">
        <w:rPr>
          <w:rFonts w:ascii="Arial" w:hAnsi="Arial" w:cs="Arial"/>
          <w:sz w:val="20"/>
          <w:szCs w:val="20"/>
        </w:rPr>
        <w:t>weniger als 5 Jahren</w:t>
      </w:r>
      <w:r w:rsidR="006E387B">
        <w:rPr>
          <w:rFonts w:ascii="Arial" w:hAnsi="Arial" w:cs="Arial"/>
          <w:sz w:val="20"/>
          <w:szCs w:val="20"/>
        </w:rPr>
        <w:t xml:space="preserve"> i</w:t>
      </w:r>
      <w:r w:rsidRPr="0071466A">
        <w:rPr>
          <w:rFonts w:ascii="Arial" w:hAnsi="Arial" w:cs="Arial"/>
          <w:sz w:val="20"/>
          <w:szCs w:val="20"/>
        </w:rPr>
        <w:t>m Besitz oder in der Pachtbewirtschaftung befindet.</w:t>
      </w:r>
    </w:p>
    <w:p w14:paraId="4BE6B3BA" w14:textId="77777777" w:rsidR="00E561CE" w:rsidRPr="0071466A" w:rsidRDefault="001E4AA5" w:rsidP="0048442A">
      <w:pPr>
        <w:pStyle w:val="berschrift3"/>
        <w:rPr>
          <w:szCs w:val="20"/>
        </w:rPr>
      </w:pPr>
      <w:r w:rsidRPr="0071466A">
        <w:rPr>
          <w:szCs w:val="20"/>
        </w:rPr>
        <w:t>2.3.3</w:t>
      </w:r>
      <w:r w:rsidRPr="0071466A">
        <w:rPr>
          <w:szCs w:val="20"/>
        </w:rPr>
        <w:tab/>
      </w:r>
      <w:r w:rsidR="00E561CE" w:rsidRPr="0071466A">
        <w:rPr>
          <w:szCs w:val="20"/>
        </w:rPr>
        <w:t>Behandlung Teilfläche III</w:t>
      </w:r>
    </w:p>
    <w:p w14:paraId="6C89B64B" w14:textId="77777777" w:rsidR="0048442A" w:rsidRPr="0071466A" w:rsidRDefault="0048442A" w:rsidP="0048442A">
      <w:pPr>
        <w:tabs>
          <w:tab w:val="left" w:pos="5670"/>
        </w:tabs>
        <w:ind w:left="1418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von 2.1 c)* behandelt (in ha) </w:t>
      </w:r>
      <w:r w:rsidRPr="0071466A">
        <w:rPr>
          <w:rFonts w:ascii="Arial" w:hAnsi="Arial" w:cs="Arial"/>
          <w:sz w:val="20"/>
          <w:szCs w:val="20"/>
        </w:rPr>
        <w:tab/>
        <w:t>ausgebrachte Rein-</w:t>
      </w:r>
      <w:proofErr w:type="spellStart"/>
      <w:r w:rsidRPr="0071466A">
        <w:rPr>
          <w:rFonts w:ascii="Arial" w:hAnsi="Arial" w:cs="Arial"/>
          <w:sz w:val="20"/>
          <w:szCs w:val="20"/>
        </w:rPr>
        <w:t>Cu</w:t>
      </w:r>
      <w:proofErr w:type="spellEnd"/>
      <w:r w:rsidRPr="0071466A">
        <w:rPr>
          <w:rFonts w:ascii="Arial" w:hAnsi="Arial" w:cs="Arial"/>
          <w:sz w:val="20"/>
          <w:szCs w:val="20"/>
        </w:rPr>
        <w:t>-Menge (kg/ha)</w:t>
      </w:r>
      <w:r w:rsidRPr="0071466A">
        <w:rPr>
          <w:rFonts w:ascii="Arial" w:hAnsi="Arial" w:cs="Arial"/>
          <w:sz w:val="20"/>
          <w:szCs w:val="20"/>
        </w:rPr>
        <w:br/>
      </w:r>
      <w:r w:rsidRPr="0071466A">
        <w:rPr>
          <w:rFonts w:ascii="Arial" w:hAnsi="Arial" w:cs="Arial"/>
          <w:sz w:val="20"/>
          <w:szCs w:val="20"/>
        </w:rPr>
        <w:br/>
        <w:t>________________________________</w:t>
      </w:r>
      <w:r w:rsidRPr="0071466A">
        <w:rPr>
          <w:rFonts w:ascii="Arial" w:hAnsi="Arial" w:cs="Arial"/>
          <w:sz w:val="20"/>
          <w:szCs w:val="20"/>
        </w:rPr>
        <w:tab/>
        <w:t>________________________________</w:t>
      </w:r>
    </w:p>
    <w:p w14:paraId="7A233F46" w14:textId="77777777" w:rsidR="0048442A" w:rsidRPr="0071466A" w:rsidRDefault="0048442A" w:rsidP="0048442A">
      <w:pPr>
        <w:spacing w:before="120"/>
        <w:ind w:left="1702" w:hanging="284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Im Fünfjahresdurchschnitt wurde die Gesamtreinkupferaufwandmenge von 17,5 kg/ha nicht überschritten. </w:t>
      </w:r>
    </w:p>
    <w:p w14:paraId="353F4D27" w14:textId="415B6AA9" w:rsidR="0048442A" w:rsidRPr="0071466A" w:rsidRDefault="0048442A" w:rsidP="0048442A">
      <w:pPr>
        <w:ind w:left="1701" w:hanging="283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Der Fünfjahresdurchschnitt ist nicht ermittelbar, da sich diese (Teil-) Rebfläche erst seit </w:t>
      </w:r>
      <w:r w:rsidR="00D62C4C" w:rsidRPr="00D62C4C">
        <w:rPr>
          <w:rFonts w:ascii="Arial" w:hAnsi="Arial" w:cs="Arial"/>
          <w:sz w:val="20"/>
          <w:szCs w:val="20"/>
        </w:rPr>
        <w:t xml:space="preserve">weniger als 5 Jahren </w:t>
      </w:r>
      <w:r w:rsidR="00D62C4C">
        <w:rPr>
          <w:rFonts w:ascii="Arial" w:hAnsi="Arial" w:cs="Arial"/>
          <w:sz w:val="20"/>
          <w:szCs w:val="20"/>
        </w:rPr>
        <w:t>i</w:t>
      </w:r>
      <w:r w:rsidRPr="0071466A">
        <w:rPr>
          <w:rFonts w:ascii="Arial" w:hAnsi="Arial" w:cs="Arial"/>
          <w:sz w:val="20"/>
          <w:szCs w:val="20"/>
        </w:rPr>
        <w:t>m Besitz oder in der Pachtbewirtschaftung befindet.</w:t>
      </w:r>
    </w:p>
    <w:p w14:paraId="587F9A39" w14:textId="77777777" w:rsidR="00E561CE" w:rsidRPr="0071466A" w:rsidRDefault="001E4AA5" w:rsidP="0048442A">
      <w:pPr>
        <w:pStyle w:val="berschrift3"/>
        <w:rPr>
          <w:szCs w:val="20"/>
        </w:rPr>
      </w:pPr>
      <w:r w:rsidRPr="0071466A">
        <w:rPr>
          <w:szCs w:val="20"/>
        </w:rPr>
        <w:t>2.3.4</w:t>
      </w:r>
      <w:r w:rsidRPr="0071466A">
        <w:rPr>
          <w:szCs w:val="20"/>
        </w:rPr>
        <w:tab/>
      </w:r>
      <w:r w:rsidR="00E561CE" w:rsidRPr="0071466A">
        <w:rPr>
          <w:szCs w:val="20"/>
        </w:rPr>
        <w:t>Behandlung Teilfläche I</w:t>
      </w:r>
      <w:r w:rsidRPr="0071466A">
        <w:rPr>
          <w:szCs w:val="20"/>
        </w:rPr>
        <w:t>V</w:t>
      </w:r>
    </w:p>
    <w:p w14:paraId="324C5A5E" w14:textId="77777777" w:rsidR="0048442A" w:rsidRPr="0071466A" w:rsidRDefault="0048442A" w:rsidP="0048442A">
      <w:pPr>
        <w:tabs>
          <w:tab w:val="left" w:pos="5670"/>
        </w:tabs>
        <w:ind w:left="1418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von 2.1 c)* behandelt (in ha) </w:t>
      </w:r>
      <w:r w:rsidRPr="0071466A">
        <w:rPr>
          <w:rFonts w:ascii="Arial" w:hAnsi="Arial" w:cs="Arial"/>
          <w:sz w:val="20"/>
          <w:szCs w:val="20"/>
        </w:rPr>
        <w:tab/>
        <w:t>ausgebrachte Rein-</w:t>
      </w:r>
      <w:proofErr w:type="spellStart"/>
      <w:r w:rsidRPr="0071466A">
        <w:rPr>
          <w:rFonts w:ascii="Arial" w:hAnsi="Arial" w:cs="Arial"/>
          <w:sz w:val="20"/>
          <w:szCs w:val="20"/>
        </w:rPr>
        <w:t>Cu</w:t>
      </w:r>
      <w:proofErr w:type="spellEnd"/>
      <w:r w:rsidRPr="0071466A">
        <w:rPr>
          <w:rFonts w:ascii="Arial" w:hAnsi="Arial" w:cs="Arial"/>
          <w:sz w:val="20"/>
          <w:szCs w:val="20"/>
        </w:rPr>
        <w:t>-Menge (kg/ha)</w:t>
      </w:r>
      <w:r w:rsidRPr="0071466A">
        <w:rPr>
          <w:rFonts w:ascii="Arial" w:hAnsi="Arial" w:cs="Arial"/>
          <w:sz w:val="20"/>
          <w:szCs w:val="20"/>
        </w:rPr>
        <w:br/>
      </w:r>
      <w:r w:rsidRPr="0071466A">
        <w:rPr>
          <w:rFonts w:ascii="Arial" w:hAnsi="Arial" w:cs="Arial"/>
          <w:sz w:val="20"/>
          <w:szCs w:val="20"/>
        </w:rPr>
        <w:br/>
        <w:t>________________________________</w:t>
      </w:r>
      <w:r w:rsidRPr="0071466A">
        <w:rPr>
          <w:rFonts w:ascii="Arial" w:hAnsi="Arial" w:cs="Arial"/>
          <w:sz w:val="20"/>
          <w:szCs w:val="20"/>
        </w:rPr>
        <w:tab/>
        <w:t>________________________________</w:t>
      </w:r>
    </w:p>
    <w:p w14:paraId="3633A3F0" w14:textId="77777777" w:rsidR="0048442A" w:rsidRPr="0071466A" w:rsidRDefault="0048442A" w:rsidP="0071466A">
      <w:pPr>
        <w:spacing w:before="120"/>
        <w:ind w:left="1702" w:hanging="284"/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Im Fünfjahresdurchschnitt wurde die Gesamtreinkupferaufwandmenge von 17,5 kg/ha nicht überschritten. </w:t>
      </w:r>
    </w:p>
    <w:p w14:paraId="7624F537" w14:textId="4CFBFC0E" w:rsidR="00E561CE" w:rsidRPr="0071466A" w:rsidRDefault="0048442A" w:rsidP="0071466A">
      <w:pPr>
        <w:ind w:left="1701" w:hanging="283"/>
        <w:rPr>
          <w:rFonts w:ascii="Arial" w:hAnsi="Arial" w:cs="Arial"/>
          <w:b/>
          <w:color w:val="181717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sym w:font="Wingdings" w:char="F06F"/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sz w:val="20"/>
          <w:szCs w:val="20"/>
        </w:rPr>
        <w:tab/>
        <w:t xml:space="preserve">Der Fünfjahresdurchschnitt ist nicht ermittelbar, da sich diese (Teil-) Rebfläche erst </w:t>
      </w:r>
      <w:r w:rsidR="00D62C4C" w:rsidRPr="00D62C4C">
        <w:rPr>
          <w:rFonts w:ascii="Arial" w:hAnsi="Arial" w:cs="Arial"/>
          <w:sz w:val="20"/>
          <w:szCs w:val="20"/>
        </w:rPr>
        <w:t xml:space="preserve">seit weniger als 5 Jahren </w:t>
      </w:r>
      <w:r w:rsidR="00D62C4C">
        <w:rPr>
          <w:rFonts w:ascii="Arial" w:hAnsi="Arial" w:cs="Arial"/>
          <w:sz w:val="20"/>
          <w:szCs w:val="20"/>
        </w:rPr>
        <w:t>i</w:t>
      </w:r>
      <w:r w:rsidRPr="0071466A">
        <w:rPr>
          <w:rFonts w:ascii="Arial" w:hAnsi="Arial" w:cs="Arial"/>
          <w:sz w:val="20"/>
          <w:szCs w:val="20"/>
        </w:rPr>
        <w:t>m Besitz oder in der Pachtbewirtschaftung befindet.</w:t>
      </w:r>
      <w:r w:rsidR="00E561CE" w:rsidRPr="0071466A">
        <w:rPr>
          <w:rFonts w:ascii="Arial" w:hAnsi="Arial" w:cs="Arial"/>
          <w:sz w:val="20"/>
          <w:szCs w:val="20"/>
        </w:rPr>
        <w:br w:type="page"/>
      </w:r>
    </w:p>
    <w:p w14:paraId="02E046AE" w14:textId="77777777" w:rsidR="00AC2014" w:rsidRPr="00FA6B95" w:rsidRDefault="00832AF1" w:rsidP="00FA6B95">
      <w:pPr>
        <w:pStyle w:val="berschrift1"/>
        <w:jc w:val="center"/>
        <w:rPr>
          <w:rFonts w:cs="Arial"/>
          <w:sz w:val="24"/>
          <w:szCs w:val="24"/>
        </w:rPr>
      </w:pPr>
      <w:r w:rsidRPr="00FA6B95">
        <w:rPr>
          <w:rFonts w:cs="Arial"/>
          <w:sz w:val="24"/>
          <w:szCs w:val="24"/>
        </w:rPr>
        <w:lastRenderedPageBreak/>
        <w:t>Hinweise zur Anzeige über die erhöhte Ausbringmenge von Pflanzenschutzmitteln mit kupferhaltigen Wirkstoffen im Weinbau</w:t>
      </w:r>
    </w:p>
    <w:p w14:paraId="710432E3" w14:textId="77777777" w:rsidR="00832AF1" w:rsidRPr="0071466A" w:rsidRDefault="00832AF1" w:rsidP="00530FF5">
      <w:pPr>
        <w:rPr>
          <w:rFonts w:ascii="Arial" w:hAnsi="Arial" w:cs="Arial"/>
          <w:sz w:val="20"/>
          <w:szCs w:val="20"/>
        </w:rPr>
      </w:pPr>
    </w:p>
    <w:p w14:paraId="492118B7" w14:textId="77777777" w:rsidR="00832AF1" w:rsidRPr="0071466A" w:rsidRDefault="003D3A9B" w:rsidP="00FA6B95">
      <w:pPr>
        <w:pStyle w:val="berschrift2"/>
        <w:ind w:left="426"/>
        <w:rPr>
          <w:szCs w:val="20"/>
        </w:rPr>
      </w:pPr>
      <w:r w:rsidRPr="0071466A">
        <w:rPr>
          <w:szCs w:val="20"/>
        </w:rPr>
        <w:t>Rechtsgrundlage</w:t>
      </w:r>
    </w:p>
    <w:p w14:paraId="15BE04C4" w14:textId="77777777" w:rsidR="00832AF1" w:rsidRPr="0071466A" w:rsidRDefault="00895585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Sie sind gem. </w:t>
      </w:r>
      <w:proofErr w:type="spellStart"/>
      <w:r w:rsidR="00416BBE" w:rsidRPr="0071466A">
        <w:rPr>
          <w:rFonts w:ascii="Arial" w:hAnsi="Arial" w:cs="Arial"/>
          <w:sz w:val="20"/>
          <w:szCs w:val="20"/>
        </w:rPr>
        <w:t>u.g</w:t>
      </w:r>
      <w:proofErr w:type="spellEnd"/>
      <w:r w:rsidR="00416BBE" w:rsidRPr="0071466A">
        <w:rPr>
          <w:rFonts w:ascii="Arial" w:hAnsi="Arial" w:cs="Arial"/>
          <w:sz w:val="20"/>
          <w:szCs w:val="20"/>
        </w:rPr>
        <w:t>. Anwendungsbestimmungen zu den jeweiligen Pflanzenschutzmitteln</w:t>
      </w:r>
      <w:r w:rsidRPr="0071466A">
        <w:rPr>
          <w:rFonts w:ascii="Arial" w:hAnsi="Arial" w:cs="Arial"/>
          <w:sz w:val="20"/>
          <w:szCs w:val="20"/>
        </w:rPr>
        <w:t xml:space="preserve"> als Bewirtschafter von Rebflächen verpflichtet, </w:t>
      </w:r>
      <w:r w:rsidR="0071466A">
        <w:rPr>
          <w:rFonts w:ascii="Arial" w:hAnsi="Arial" w:cs="Arial"/>
          <w:sz w:val="20"/>
          <w:szCs w:val="20"/>
        </w:rPr>
        <w:t xml:space="preserve">ausgebrachte Kupfermengen von über 3 kg Reinkupfer je Hektar und Jahr </w:t>
      </w:r>
      <w:r w:rsidRPr="0071466A">
        <w:rPr>
          <w:rFonts w:ascii="Arial" w:hAnsi="Arial" w:cs="Arial"/>
          <w:sz w:val="20"/>
          <w:szCs w:val="20"/>
        </w:rPr>
        <w:t>anzuzeigen.</w:t>
      </w:r>
    </w:p>
    <w:p w14:paraId="35C99657" w14:textId="77777777" w:rsidR="003D3A9B" w:rsidRPr="0071466A" w:rsidRDefault="003D3A9B" w:rsidP="00530FF5">
      <w:pPr>
        <w:rPr>
          <w:rFonts w:ascii="Arial" w:hAnsi="Arial" w:cs="Arial"/>
          <w:sz w:val="20"/>
          <w:szCs w:val="20"/>
        </w:rPr>
      </w:pPr>
    </w:p>
    <w:p w14:paraId="119957DB" w14:textId="3C0D0BE6" w:rsidR="00832AF1" w:rsidRPr="0071466A" w:rsidRDefault="00832AF1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>Betroffene Pflanzenschutzmittel sind bei Drucklegung</w:t>
      </w:r>
      <w:r w:rsidR="005552BD">
        <w:rPr>
          <w:rFonts w:ascii="Arial" w:hAnsi="Arial" w:cs="Arial"/>
          <w:sz w:val="20"/>
          <w:szCs w:val="20"/>
        </w:rPr>
        <w:t xml:space="preserve"> z.B. </w:t>
      </w:r>
      <w:proofErr w:type="spellStart"/>
      <w:r w:rsidR="005552BD">
        <w:rPr>
          <w:rFonts w:ascii="Arial" w:hAnsi="Arial" w:cs="Arial"/>
          <w:sz w:val="20"/>
          <w:szCs w:val="20"/>
        </w:rPr>
        <w:t>Airone</w:t>
      </w:r>
      <w:proofErr w:type="spellEnd"/>
      <w:r w:rsidR="005552BD">
        <w:rPr>
          <w:rFonts w:ascii="Arial" w:hAnsi="Arial" w:cs="Arial"/>
          <w:sz w:val="20"/>
          <w:szCs w:val="20"/>
        </w:rPr>
        <w:t xml:space="preserve"> SC, Badge WG, </w:t>
      </w:r>
      <w:proofErr w:type="spellStart"/>
      <w:r w:rsidR="005552BD">
        <w:rPr>
          <w:rFonts w:ascii="Arial" w:hAnsi="Arial" w:cs="Arial"/>
          <w:sz w:val="20"/>
          <w:szCs w:val="20"/>
        </w:rPr>
        <w:t>Copra</w:t>
      </w:r>
      <w:r w:rsidRPr="0071466A">
        <w:rPr>
          <w:rFonts w:ascii="Arial" w:hAnsi="Arial" w:cs="Arial"/>
          <w:sz w:val="20"/>
          <w:szCs w:val="20"/>
        </w:rPr>
        <w:t>ntol</w:t>
      </w:r>
      <w:proofErr w:type="spellEnd"/>
      <w:r w:rsidRPr="0071466A">
        <w:rPr>
          <w:rFonts w:ascii="Arial" w:hAnsi="Arial" w:cs="Arial"/>
          <w:sz w:val="20"/>
          <w:szCs w:val="20"/>
        </w:rPr>
        <w:t xml:space="preserve"> Duo, </w:t>
      </w:r>
      <w:proofErr w:type="spellStart"/>
      <w:r w:rsidRPr="0071466A">
        <w:rPr>
          <w:rFonts w:ascii="Arial" w:hAnsi="Arial" w:cs="Arial"/>
          <w:sz w:val="20"/>
          <w:szCs w:val="20"/>
        </w:rPr>
        <w:t>Cuprozin</w:t>
      </w:r>
      <w:proofErr w:type="spellEnd"/>
      <w:r w:rsidRPr="007146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66A">
        <w:rPr>
          <w:rFonts w:ascii="Arial" w:hAnsi="Arial" w:cs="Arial"/>
          <w:sz w:val="20"/>
          <w:szCs w:val="20"/>
        </w:rPr>
        <w:t>progress</w:t>
      </w:r>
      <w:proofErr w:type="spellEnd"/>
      <w:r w:rsidRPr="007146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466A">
        <w:rPr>
          <w:rFonts w:ascii="Arial" w:hAnsi="Arial" w:cs="Arial"/>
          <w:sz w:val="20"/>
          <w:szCs w:val="20"/>
        </w:rPr>
        <w:t>Fungur</w:t>
      </w:r>
      <w:r w:rsidR="000C21BF">
        <w:rPr>
          <w:rFonts w:ascii="Arial" w:hAnsi="Arial" w:cs="Arial"/>
          <w:sz w:val="20"/>
          <w:szCs w:val="20"/>
        </w:rPr>
        <w:t>an</w:t>
      </w:r>
      <w:proofErr w:type="spellEnd"/>
      <w:r w:rsidR="000C21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1BF">
        <w:rPr>
          <w:rFonts w:ascii="Arial" w:hAnsi="Arial" w:cs="Arial"/>
          <w:sz w:val="20"/>
          <w:szCs w:val="20"/>
        </w:rPr>
        <w:t>progress</w:t>
      </w:r>
      <w:proofErr w:type="spellEnd"/>
      <w:r w:rsidR="000C21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C21BF">
        <w:rPr>
          <w:rFonts w:ascii="Arial" w:hAnsi="Arial" w:cs="Arial"/>
          <w:sz w:val="20"/>
          <w:szCs w:val="20"/>
        </w:rPr>
        <w:t>Grifon</w:t>
      </w:r>
      <w:proofErr w:type="spellEnd"/>
      <w:r w:rsidR="000C21BF">
        <w:rPr>
          <w:rFonts w:ascii="Arial" w:hAnsi="Arial" w:cs="Arial"/>
          <w:sz w:val="20"/>
          <w:szCs w:val="20"/>
        </w:rPr>
        <w:t xml:space="preserve"> SC</w:t>
      </w:r>
    </w:p>
    <w:p w14:paraId="42CC34A4" w14:textId="77777777" w:rsidR="00832AF1" w:rsidRPr="0071466A" w:rsidRDefault="00832AF1" w:rsidP="00530FF5">
      <w:p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>Zugehörige Auflagen/Anwendungsbestimmungen der Präparate sind in der Regel:</w:t>
      </w:r>
    </w:p>
    <w:p w14:paraId="2F0C4761" w14:textId="77777777" w:rsidR="00832AF1" w:rsidRPr="0071466A" w:rsidRDefault="00832AF1" w:rsidP="00530FF5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Die maximale Gesamtaufwandmenge von </w:t>
      </w:r>
      <w:r w:rsidR="001131FD" w:rsidRPr="0071466A">
        <w:rPr>
          <w:rFonts w:ascii="Arial" w:hAnsi="Arial" w:cs="Arial"/>
          <w:sz w:val="20"/>
          <w:szCs w:val="20"/>
        </w:rPr>
        <w:t>(…)</w:t>
      </w:r>
      <w:r w:rsidRPr="0071466A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b/>
          <w:sz w:val="20"/>
          <w:szCs w:val="20"/>
        </w:rPr>
        <w:t xml:space="preserve">4.000 g Reinkupfer pro Hektar und Jahr </w:t>
      </w:r>
      <w:r w:rsidR="00905D73">
        <w:rPr>
          <w:rFonts w:ascii="Arial" w:hAnsi="Arial" w:cs="Arial"/>
          <w:b/>
          <w:sz w:val="20"/>
          <w:szCs w:val="20"/>
        </w:rPr>
        <w:t xml:space="preserve">darf </w:t>
      </w:r>
      <w:r w:rsidRPr="0071466A">
        <w:rPr>
          <w:rFonts w:ascii="Arial" w:hAnsi="Arial" w:cs="Arial"/>
          <w:sz w:val="20"/>
          <w:szCs w:val="20"/>
        </w:rPr>
        <w:t xml:space="preserve">(…) </w:t>
      </w:r>
      <w:r w:rsidRPr="0071466A">
        <w:rPr>
          <w:rFonts w:ascii="Arial" w:hAnsi="Arial" w:cs="Arial"/>
          <w:b/>
          <w:sz w:val="20"/>
          <w:szCs w:val="20"/>
        </w:rPr>
        <w:t>im Weinbau</w:t>
      </w:r>
      <w:r w:rsidRPr="0071466A">
        <w:rPr>
          <w:rFonts w:ascii="Arial" w:hAnsi="Arial" w:cs="Arial"/>
          <w:sz w:val="20"/>
          <w:szCs w:val="20"/>
        </w:rPr>
        <w:t xml:space="preserve"> - auch in Kombination mit anderen Kupfer enthaltenden Pflanzenschutzmitteln - </w:t>
      </w:r>
      <w:r w:rsidRPr="0071466A">
        <w:rPr>
          <w:rFonts w:ascii="Arial" w:hAnsi="Arial" w:cs="Arial"/>
          <w:b/>
          <w:sz w:val="20"/>
          <w:szCs w:val="20"/>
        </w:rPr>
        <w:t xml:space="preserve">nicht überschritten werden </w:t>
      </w:r>
      <w:r w:rsidRPr="0071466A">
        <w:rPr>
          <w:rFonts w:ascii="Arial" w:hAnsi="Arial" w:cs="Arial"/>
          <w:sz w:val="20"/>
          <w:szCs w:val="20"/>
        </w:rPr>
        <w:t xml:space="preserve">(NT620-2). </w:t>
      </w:r>
    </w:p>
    <w:p w14:paraId="051B18E0" w14:textId="77777777" w:rsidR="00832AF1" w:rsidRPr="0071466A" w:rsidRDefault="00832AF1" w:rsidP="00530FF5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In einem Fünfjahreszeitraum (der das aktuelle Jahr und die vorausgegangenen vier Kalenderjahre umfasst) darf in der Summe eine Gesamtaufwandmenge von 17.500 g Reinkupfer pro Hektar im Weinbau nicht überschritten werden (NT621-1). </w:t>
      </w:r>
    </w:p>
    <w:p w14:paraId="7B960B89" w14:textId="4371F45D" w:rsidR="00832AF1" w:rsidRPr="0071466A" w:rsidRDefault="00832AF1" w:rsidP="00530FF5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In den Jahren, in denen eine Gesamtaufwandmenge von 3.000 g Reinkupfer pro Hektar im Weinbau überschritten wird, ist dies unter </w:t>
      </w:r>
      <w:r w:rsidRPr="0071466A">
        <w:rPr>
          <w:rFonts w:ascii="Arial" w:hAnsi="Arial" w:cs="Arial"/>
          <w:b/>
          <w:sz w:val="20"/>
          <w:szCs w:val="20"/>
        </w:rPr>
        <w:t>Angabe der tatsächlich verwendeten Menge und der Größe der behandelten Rebfläche flächengenau der zuständigen Behörde des Landes</w:t>
      </w:r>
      <w:r w:rsidR="00B71937">
        <w:rPr>
          <w:rFonts w:ascii="Arial" w:hAnsi="Arial" w:cs="Arial"/>
          <w:b/>
          <w:sz w:val="20"/>
          <w:szCs w:val="20"/>
        </w:rPr>
        <w:t xml:space="preserve"> </w:t>
      </w:r>
      <w:r w:rsidR="00B71937" w:rsidRPr="009151F2">
        <w:rPr>
          <w:rFonts w:ascii="Arial" w:hAnsi="Arial" w:cs="Arial"/>
          <w:i/>
          <w:sz w:val="20"/>
          <w:szCs w:val="20"/>
        </w:rPr>
        <w:t>(hier: Untere Landwirtschaftsbehörde)</w:t>
      </w:r>
      <w:r w:rsidRPr="00B71937">
        <w:rPr>
          <w:rFonts w:ascii="Arial" w:hAnsi="Arial" w:cs="Arial"/>
          <w:sz w:val="20"/>
          <w:szCs w:val="20"/>
        </w:rPr>
        <w:t xml:space="preserve"> </w:t>
      </w:r>
      <w:r w:rsidRPr="0071466A">
        <w:rPr>
          <w:rFonts w:ascii="Arial" w:hAnsi="Arial" w:cs="Arial"/>
          <w:b/>
          <w:sz w:val="20"/>
          <w:szCs w:val="20"/>
        </w:rPr>
        <w:t>bis zum 30. November des jeweiligen Jahres zu melden</w:t>
      </w:r>
      <w:r w:rsidRPr="0071466A">
        <w:rPr>
          <w:rFonts w:ascii="Arial" w:hAnsi="Arial" w:cs="Arial"/>
          <w:sz w:val="20"/>
          <w:szCs w:val="20"/>
        </w:rPr>
        <w:t xml:space="preserve"> (NT622). </w:t>
      </w:r>
    </w:p>
    <w:p w14:paraId="46456F85" w14:textId="77777777" w:rsidR="00832AF1" w:rsidRPr="0071466A" w:rsidRDefault="00832AF1" w:rsidP="00530FF5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466A">
        <w:rPr>
          <w:rFonts w:ascii="Arial" w:hAnsi="Arial" w:cs="Arial"/>
          <w:sz w:val="20"/>
          <w:szCs w:val="20"/>
        </w:rPr>
        <w:t xml:space="preserve">Im Weinbau sind die Gesamtaufwandmengen je Hektar und Jahr flächengenau in geeigneter Form zu dokumentieren; die Aufzeichnungen sind </w:t>
      </w:r>
      <w:r w:rsidRPr="0071466A">
        <w:rPr>
          <w:rFonts w:ascii="Arial" w:hAnsi="Arial" w:cs="Arial"/>
          <w:b/>
          <w:sz w:val="20"/>
          <w:szCs w:val="20"/>
        </w:rPr>
        <w:t>mindestens 5 Jahre aufzubewahren</w:t>
      </w:r>
      <w:r w:rsidRPr="0071466A">
        <w:rPr>
          <w:rFonts w:ascii="Arial" w:hAnsi="Arial" w:cs="Arial"/>
          <w:sz w:val="20"/>
          <w:szCs w:val="20"/>
        </w:rPr>
        <w:t xml:space="preserve"> (NT623).</w:t>
      </w:r>
    </w:p>
    <w:p w14:paraId="70D418C1" w14:textId="77777777" w:rsidR="001131FD" w:rsidRPr="0071466A" w:rsidRDefault="001131FD" w:rsidP="00530FF5">
      <w:pPr>
        <w:rPr>
          <w:rFonts w:ascii="Arial" w:hAnsi="Arial" w:cs="Arial"/>
          <w:sz w:val="20"/>
          <w:szCs w:val="20"/>
        </w:rPr>
      </w:pPr>
    </w:p>
    <w:p w14:paraId="13C6A358" w14:textId="46ABFA3E" w:rsidR="00832AF1" w:rsidRPr="0071466A" w:rsidRDefault="006C27CA" w:rsidP="001E4AA5">
      <w:pPr>
        <w:pStyle w:val="berschrift1"/>
        <w:rPr>
          <w:rFonts w:cs="Arial"/>
          <w:szCs w:val="20"/>
        </w:rPr>
      </w:pPr>
      <w:r w:rsidRPr="0071466A">
        <w:rPr>
          <w:rFonts w:cs="Arial"/>
          <w:szCs w:val="20"/>
        </w:rPr>
        <w:t>Datenschutz</w:t>
      </w:r>
      <w:r>
        <w:rPr>
          <w:rFonts w:cs="Arial"/>
          <w:szCs w:val="20"/>
        </w:rPr>
        <w:t xml:space="preserve">information </w:t>
      </w:r>
      <w:r w:rsidR="00B63493">
        <w:rPr>
          <w:rFonts w:cs="Arial"/>
          <w:szCs w:val="20"/>
        </w:rPr>
        <w:t>nach</w:t>
      </w:r>
      <w:r>
        <w:rPr>
          <w:rFonts w:cs="Arial"/>
          <w:szCs w:val="20"/>
        </w:rPr>
        <w:t xml:space="preserve"> Artikel 13 DS-GVO</w:t>
      </w:r>
    </w:p>
    <w:p w14:paraId="46752AEE" w14:textId="3BA76087" w:rsidR="004E448E" w:rsidRDefault="004E448E" w:rsidP="00530FF5">
      <w:pPr>
        <w:rPr>
          <w:rFonts w:ascii="Arial" w:hAnsi="Arial" w:cs="Arial"/>
          <w:sz w:val="20"/>
          <w:szCs w:val="20"/>
        </w:rPr>
      </w:pPr>
    </w:p>
    <w:p w14:paraId="1F2EFEDA" w14:textId="24017891" w:rsidR="006C27CA" w:rsidRPr="00BE21CC" w:rsidRDefault="006C27CA" w:rsidP="00530FF5">
      <w:pPr>
        <w:rPr>
          <w:rFonts w:ascii="Arial" w:hAnsi="Arial" w:cs="Arial"/>
          <w:b/>
          <w:sz w:val="20"/>
          <w:szCs w:val="20"/>
        </w:rPr>
      </w:pPr>
      <w:r w:rsidRPr="00BE21CC">
        <w:rPr>
          <w:rFonts w:ascii="Arial" w:hAnsi="Arial" w:cs="Arial"/>
          <w:b/>
          <w:sz w:val="20"/>
          <w:szCs w:val="20"/>
        </w:rPr>
        <w:t>Verantwortlicher:</w:t>
      </w:r>
    </w:p>
    <w:p w14:paraId="65EBEB0B" w14:textId="77777777" w:rsidR="00CC3C63" w:rsidRDefault="00CC3C63" w:rsidP="00CC3C63">
      <w:pPr>
        <w:rPr>
          <w:rFonts w:ascii="Arial" w:hAnsi="Arial" w:cs="Arial"/>
          <w:sz w:val="20"/>
          <w:szCs w:val="20"/>
        </w:rPr>
      </w:pPr>
      <w:r w:rsidRPr="00C7499C">
        <w:rPr>
          <w:rFonts w:ascii="Arial" w:hAnsi="Arial" w:cs="Arial"/>
          <w:color w:val="auto"/>
          <w:sz w:val="20"/>
          <w:szCs w:val="20"/>
        </w:rPr>
        <w:t xml:space="preserve">Landratsamt Esslingen, Landwirtschaftsamt, </w:t>
      </w:r>
      <w:proofErr w:type="spellStart"/>
      <w:r w:rsidRPr="00C7499C">
        <w:rPr>
          <w:rFonts w:ascii="Arial" w:hAnsi="Arial" w:cs="Arial"/>
          <w:color w:val="auto"/>
          <w:sz w:val="20"/>
          <w:szCs w:val="20"/>
        </w:rPr>
        <w:t>Sigmaringer</w:t>
      </w:r>
      <w:proofErr w:type="spellEnd"/>
      <w:r w:rsidRPr="00C7499C">
        <w:rPr>
          <w:rFonts w:ascii="Arial" w:hAnsi="Arial" w:cs="Arial"/>
          <w:color w:val="auto"/>
          <w:sz w:val="20"/>
          <w:szCs w:val="20"/>
        </w:rPr>
        <w:t xml:space="preserve"> Str. 49, 72622 Nürtingen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6A4FB89" w14:textId="77777777" w:rsidR="00CC3C63" w:rsidRPr="00C7499C" w:rsidRDefault="00CC3C63" w:rsidP="00CC3C63">
      <w:pPr>
        <w:rPr>
          <w:rFonts w:ascii="Arial" w:hAnsi="Arial" w:cs="Arial"/>
          <w:color w:val="auto"/>
          <w:sz w:val="20"/>
          <w:szCs w:val="20"/>
        </w:rPr>
      </w:pPr>
      <w:r w:rsidRPr="00C7499C">
        <w:rPr>
          <w:rFonts w:ascii="Arial" w:hAnsi="Arial" w:cs="Arial"/>
          <w:color w:val="auto"/>
          <w:sz w:val="20"/>
          <w:szCs w:val="20"/>
        </w:rPr>
        <w:t>E-Mail: landwirtschaftsamt@LRA-ES.de, Telefon 07113902-48316</w:t>
      </w:r>
    </w:p>
    <w:p w14:paraId="13727F88" w14:textId="77777777" w:rsidR="006C27CA" w:rsidRDefault="006C27CA" w:rsidP="00530FF5">
      <w:pPr>
        <w:rPr>
          <w:rFonts w:ascii="Arial" w:hAnsi="Arial" w:cs="Arial"/>
          <w:sz w:val="20"/>
          <w:szCs w:val="20"/>
        </w:rPr>
      </w:pPr>
    </w:p>
    <w:p w14:paraId="2CAABC70" w14:textId="5E5D56D9" w:rsidR="001B1D4D" w:rsidRDefault="00905D73" w:rsidP="001B1D4D">
      <w:pPr>
        <w:pStyle w:val="CM7"/>
        <w:rPr>
          <w:color w:val="000000"/>
          <w:sz w:val="20"/>
          <w:szCs w:val="20"/>
        </w:rPr>
      </w:pPr>
      <w:r w:rsidRPr="00237AE4">
        <w:rPr>
          <w:b/>
          <w:color w:val="000000"/>
          <w:sz w:val="20"/>
          <w:szCs w:val="20"/>
        </w:rPr>
        <w:t>Rechtsgrundlage</w:t>
      </w:r>
      <w:r>
        <w:rPr>
          <w:color w:val="000000"/>
          <w:sz w:val="20"/>
          <w:szCs w:val="20"/>
        </w:rPr>
        <w:t xml:space="preserve"> für die Verarbeitung personenbezogener Daten ist Artikel 6 </w:t>
      </w:r>
      <w:r w:rsidR="000F6B77" w:rsidRPr="000F6B77">
        <w:rPr>
          <w:color w:val="000000"/>
          <w:sz w:val="20"/>
          <w:szCs w:val="20"/>
        </w:rPr>
        <w:t xml:space="preserve">Abs. </w:t>
      </w:r>
      <w:proofErr w:type="gramStart"/>
      <w:r w:rsidR="000F6B77" w:rsidRPr="000F6B77">
        <w:rPr>
          <w:color w:val="000000"/>
          <w:sz w:val="20"/>
          <w:szCs w:val="20"/>
        </w:rPr>
        <w:t>1</w:t>
      </w:r>
      <w:proofErr w:type="gramEnd"/>
      <w:r w:rsidR="005421DC">
        <w:rPr>
          <w:color w:val="000000"/>
          <w:sz w:val="20"/>
          <w:szCs w:val="20"/>
        </w:rPr>
        <w:t xml:space="preserve"> S. 1 </w:t>
      </w:r>
      <w:proofErr w:type="spellStart"/>
      <w:r w:rsidR="005421DC">
        <w:rPr>
          <w:color w:val="000000"/>
          <w:sz w:val="20"/>
          <w:szCs w:val="20"/>
        </w:rPr>
        <w:t>lit</w:t>
      </w:r>
      <w:proofErr w:type="spellEnd"/>
      <w:r w:rsidR="005421DC">
        <w:rPr>
          <w:color w:val="000000"/>
          <w:sz w:val="20"/>
          <w:szCs w:val="20"/>
        </w:rPr>
        <w:t>.</w:t>
      </w:r>
      <w:r w:rsidR="000F6B77" w:rsidRPr="000F6B77">
        <w:rPr>
          <w:color w:val="000000"/>
          <w:sz w:val="20"/>
          <w:szCs w:val="20"/>
        </w:rPr>
        <w:t xml:space="preserve"> e)</w:t>
      </w:r>
      <w:r w:rsidR="00FA6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Verordnung (EU) 2016/679 des Europäischen Parlaments und des Rates vom 27. April 2016 (EU-Datenschutz-Grundverordnung – DS-GVO</w:t>
      </w:r>
      <w:r w:rsidR="00FA6B95">
        <w:rPr>
          <w:color w:val="000000"/>
          <w:sz w:val="20"/>
          <w:szCs w:val="20"/>
        </w:rPr>
        <w:t>)</w:t>
      </w:r>
      <w:r w:rsidR="001B1D4D">
        <w:rPr>
          <w:color w:val="000000"/>
          <w:sz w:val="20"/>
          <w:szCs w:val="20"/>
        </w:rPr>
        <w:t xml:space="preserve"> i.V. mit </w:t>
      </w:r>
      <w:r w:rsidR="00BE3D8D">
        <w:rPr>
          <w:color w:val="000000"/>
          <w:sz w:val="20"/>
          <w:szCs w:val="20"/>
        </w:rPr>
        <w:t xml:space="preserve">§ 4 Landesdatenschutzgesetz </w:t>
      </w:r>
      <w:r w:rsidR="00AD2CE6">
        <w:rPr>
          <w:color w:val="000000"/>
          <w:sz w:val="20"/>
          <w:szCs w:val="20"/>
        </w:rPr>
        <w:t xml:space="preserve">(LDSG) </w:t>
      </w:r>
      <w:r w:rsidR="00BE3D8D">
        <w:rPr>
          <w:color w:val="000000"/>
          <w:sz w:val="20"/>
          <w:szCs w:val="20"/>
        </w:rPr>
        <w:t xml:space="preserve">und </w:t>
      </w:r>
      <w:r w:rsidR="001B1D4D">
        <w:rPr>
          <w:color w:val="000000"/>
          <w:sz w:val="20"/>
          <w:szCs w:val="20"/>
        </w:rPr>
        <w:t xml:space="preserve">§ 29 Abs. 7 </w:t>
      </w:r>
      <w:r w:rsidR="001B1D4D" w:rsidRPr="001B1D4D">
        <w:rPr>
          <w:color w:val="000000"/>
          <w:sz w:val="20"/>
          <w:szCs w:val="20"/>
        </w:rPr>
        <w:t>Landwirtschafts- und Landeskulturgesetz</w:t>
      </w:r>
      <w:r w:rsidR="001B1D4D">
        <w:rPr>
          <w:color w:val="000000"/>
          <w:sz w:val="20"/>
          <w:szCs w:val="20"/>
        </w:rPr>
        <w:t xml:space="preserve"> </w:t>
      </w:r>
      <w:r w:rsidR="001B1D4D" w:rsidRPr="001B1D4D">
        <w:rPr>
          <w:color w:val="000000"/>
          <w:sz w:val="20"/>
          <w:szCs w:val="20"/>
        </w:rPr>
        <w:t>(LLG)</w:t>
      </w:r>
      <w:r w:rsidR="001B1D4D">
        <w:rPr>
          <w:color w:val="000000"/>
          <w:sz w:val="20"/>
          <w:szCs w:val="20"/>
        </w:rPr>
        <w:t xml:space="preserve"> v</w:t>
      </w:r>
      <w:r w:rsidR="001B1D4D" w:rsidRPr="001B1D4D">
        <w:rPr>
          <w:color w:val="000000"/>
          <w:sz w:val="20"/>
          <w:szCs w:val="20"/>
        </w:rPr>
        <w:t>om 14. März 1972</w:t>
      </w:r>
      <w:r>
        <w:rPr>
          <w:color w:val="000000"/>
          <w:sz w:val="20"/>
          <w:szCs w:val="20"/>
        </w:rPr>
        <w:t xml:space="preserve">. </w:t>
      </w:r>
    </w:p>
    <w:p w14:paraId="5D462B11" w14:textId="77777777" w:rsidR="001D28B7" w:rsidRPr="00BE21CC" w:rsidRDefault="001D28B7" w:rsidP="00BE21CC">
      <w:pPr>
        <w:pStyle w:val="Default"/>
      </w:pPr>
    </w:p>
    <w:p w14:paraId="2D0BD8F3" w14:textId="46425BC1" w:rsidR="001B1D4D" w:rsidRDefault="001B1D4D" w:rsidP="001B1D4D">
      <w:pPr>
        <w:pStyle w:val="CM7"/>
        <w:rPr>
          <w:color w:val="000000"/>
          <w:sz w:val="20"/>
          <w:szCs w:val="20"/>
        </w:rPr>
      </w:pPr>
      <w:r w:rsidRPr="00237AE4">
        <w:rPr>
          <w:b/>
          <w:color w:val="000000"/>
          <w:sz w:val="20"/>
          <w:szCs w:val="20"/>
        </w:rPr>
        <w:t>Zweck der Datenspeicherung</w:t>
      </w:r>
      <w:r>
        <w:rPr>
          <w:color w:val="000000"/>
          <w:sz w:val="20"/>
          <w:szCs w:val="20"/>
        </w:rPr>
        <w:t xml:space="preserve">: </w:t>
      </w:r>
      <w:r w:rsidR="00905D73">
        <w:rPr>
          <w:color w:val="000000"/>
          <w:sz w:val="20"/>
          <w:szCs w:val="20"/>
        </w:rPr>
        <w:t>Ihre Angaben im Antragsformular sind erforderlich, damit das Landratsamt die Einhaltung der während eines Fünfjahreszeitraums maximal erlaubten Ausbringmenge von Kupfer überprüfen kann. Sie sind gemäß den Anwendungsbestimmungen der jeweiligen kup</w:t>
      </w:r>
      <w:r w:rsidR="00BF532D">
        <w:rPr>
          <w:color w:val="000000"/>
          <w:sz w:val="20"/>
          <w:szCs w:val="20"/>
        </w:rPr>
        <w:t>f</w:t>
      </w:r>
      <w:r w:rsidR="00905D73">
        <w:rPr>
          <w:color w:val="000000"/>
          <w:sz w:val="20"/>
          <w:szCs w:val="20"/>
        </w:rPr>
        <w:t>erhaltigen Pflanzenschutzmittel verpflichtet</w:t>
      </w:r>
      <w:r w:rsidR="00E40197">
        <w:rPr>
          <w:color w:val="000000"/>
          <w:sz w:val="20"/>
          <w:szCs w:val="20"/>
        </w:rPr>
        <w:t>, diese Angaben zu machen.</w:t>
      </w:r>
      <w:r w:rsidR="00FA6B95">
        <w:rPr>
          <w:color w:val="000000"/>
          <w:sz w:val="20"/>
          <w:szCs w:val="20"/>
        </w:rPr>
        <w:t xml:space="preserve"> </w:t>
      </w:r>
    </w:p>
    <w:p w14:paraId="7AC6C98F" w14:textId="77777777" w:rsidR="001D28B7" w:rsidRPr="00BE21CC" w:rsidRDefault="001D28B7" w:rsidP="00BE21CC">
      <w:pPr>
        <w:pStyle w:val="Default"/>
      </w:pPr>
    </w:p>
    <w:p w14:paraId="3A8EA7F6" w14:textId="6594FB94" w:rsidR="00905D73" w:rsidRDefault="001B1D4D" w:rsidP="001B1D4D">
      <w:pPr>
        <w:pStyle w:val="CM7"/>
        <w:rPr>
          <w:color w:val="000000"/>
          <w:sz w:val="20"/>
          <w:szCs w:val="20"/>
        </w:rPr>
      </w:pPr>
      <w:r w:rsidRPr="00237AE4">
        <w:rPr>
          <w:b/>
          <w:color w:val="000000"/>
          <w:sz w:val="20"/>
          <w:szCs w:val="20"/>
        </w:rPr>
        <w:t>Dauer der Speicherung</w:t>
      </w:r>
      <w:r>
        <w:rPr>
          <w:color w:val="000000"/>
          <w:sz w:val="20"/>
          <w:szCs w:val="20"/>
        </w:rPr>
        <w:t xml:space="preserve">: </w:t>
      </w:r>
      <w:r w:rsidR="00BE21CC" w:rsidRPr="00BE21CC">
        <w:rPr>
          <w:color w:val="000000"/>
          <w:sz w:val="20"/>
          <w:szCs w:val="20"/>
        </w:rPr>
        <w:t xml:space="preserve">Die Daten werden </w:t>
      </w:r>
      <w:r w:rsidR="00BE21CC">
        <w:rPr>
          <w:color w:val="000000"/>
          <w:sz w:val="20"/>
          <w:szCs w:val="20"/>
        </w:rPr>
        <w:t>6</w:t>
      </w:r>
      <w:r w:rsidR="00BE21CC" w:rsidRPr="00BE21CC">
        <w:rPr>
          <w:color w:val="000000"/>
          <w:sz w:val="20"/>
          <w:szCs w:val="20"/>
        </w:rPr>
        <w:t xml:space="preserve"> Jahre </w:t>
      </w:r>
      <w:r w:rsidR="00BE21CC">
        <w:rPr>
          <w:color w:val="000000"/>
          <w:sz w:val="20"/>
          <w:szCs w:val="20"/>
        </w:rPr>
        <w:t xml:space="preserve">lang </w:t>
      </w:r>
      <w:r w:rsidR="00BE21CC" w:rsidRPr="00BE21CC">
        <w:rPr>
          <w:color w:val="000000"/>
          <w:sz w:val="20"/>
          <w:szCs w:val="20"/>
        </w:rPr>
        <w:t>aufbewahrt, um der Unteren Landwirtschaftsbehörde eine Überprüfung im Rahmen der gesetzlichen Regelungen zu ermöglichen.</w:t>
      </w:r>
      <w:r w:rsidR="00EB5C5E">
        <w:rPr>
          <w:color w:val="000000"/>
          <w:sz w:val="20"/>
          <w:szCs w:val="20"/>
        </w:rPr>
        <w:t xml:space="preserve"> Eine Weitergabe ist nicht vorgesehen und unterliegt </w:t>
      </w:r>
      <w:r w:rsidR="00131472">
        <w:rPr>
          <w:color w:val="000000"/>
          <w:sz w:val="20"/>
          <w:szCs w:val="20"/>
        </w:rPr>
        <w:t xml:space="preserve">ansonsten </w:t>
      </w:r>
      <w:r w:rsidR="00EB5C5E">
        <w:rPr>
          <w:color w:val="000000"/>
          <w:sz w:val="20"/>
          <w:szCs w:val="20"/>
        </w:rPr>
        <w:t>den weiteren gesetzlichen Regelungen.</w:t>
      </w:r>
    </w:p>
    <w:p w14:paraId="0DCE5F5D" w14:textId="77777777" w:rsidR="005C37A1" w:rsidRPr="00FA6B95" w:rsidRDefault="005C37A1" w:rsidP="00FA6B95">
      <w:pPr>
        <w:pStyle w:val="Default"/>
      </w:pPr>
    </w:p>
    <w:p w14:paraId="412D21D7" w14:textId="77777777" w:rsidR="00905D73" w:rsidRPr="00FA6B95" w:rsidRDefault="00905D73" w:rsidP="00BE21CC">
      <w:pPr>
        <w:pStyle w:val="CM7"/>
        <w:spacing w:after="140"/>
        <w:rPr>
          <w:b/>
          <w:color w:val="000000"/>
          <w:sz w:val="20"/>
          <w:szCs w:val="20"/>
        </w:rPr>
      </w:pPr>
      <w:r w:rsidRPr="00FA6B95">
        <w:rPr>
          <w:b/>
          <w:color w:val="000000"/>
          <w:sz w:val="20"/>
          <w:szCs w:val="20"/>
        </w:rPr>
        <w:t xml:space="preserve">Ihre Rechte: </w:t>
      </w:r>
    </w:p>
    <w:p w14:paraId="7B7811A3" w14:textId="77777777" w:rsidR="00905D73" w:rsidRPr="00FA6B95" w:rsidRDefault="00905D73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t xml:space="preserve">Sie können nach Maßgabe des Artikel 15 DS-GVO Auskunft über Ihre gespeicherten Daten verlangen. </w:t>
      </w:r>
    </w:p>
    <w:p w14:paraId="4849A6EE" w14:textId="77777777" w:rsidR="00905D73" w:rsidRPr="00FA6B95" w:rsidRDefault="00905D73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t xml:space="preserve">Sie können eine kostenlose Kopie dieser Daten verlangen (Artikel 15 Abs. 3 und 4 DS-GVO). </w:t>
      </w:r>
    </w:p>
    <w:p w14:paraId="4C95D718" w14:textId="77777777" w:rsidR="00905D73" w:rsidRPr="00FA6B95" w:rsidRDefault="00905D73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t xml:space="preserve">Sie können eine Vervollständigung oder Berichtigung Ihre Daten verlangen, sofern diese unvollständig oder unrichtig sind (Artikel 16 DS-GVO). </w:t>
      </w:r>
    </w:p>
    <w:p w14:paraId="2B699D5F" w14:textId="77777777" w:rsidR="00905D73" w:rsidRPr="00FA6B95" w:rsidRDefault="00905D73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t xml:space="preserve">Sie haben unter gewissen Voraussetzungen das Recht, die </w:t>
      </w:r>
      <w:r w:rsidR="005C37A1" w:rsidRPr="00FA6B95">
        <w:rPr>
          <w:rFonts w:ascii="Arial" w:hAnsi="Arial" w:cs="Arial"/>
          <w:sz w:val="20"/>
          <w:szCs w:val="20"/>
        </w:rPr>
        <w:t xml:space="preserve">vorzeitige </w:t>
      </w:r>
      <w:r w:rsidRPr="00FA6B95">
        <w:rPr>
          <w:rFonts w:ascii="Arial" w:hAnsi="Arial" w:cs="Arial"/>
          <w:sz w:val="20"/>
          <w:szCs w:val="20"/>
        </w:rPr>
        <w:t>Löschung Ihrer personenbezogenen</w:t>
      </w:r>
      <w:r w:rsidR="003632C4" w:rsidRPr="00FA6B95">
        <w:rPr>
          <w:rFonts w:ascii="Arial" w:hAnsi="Arial" w:cs="Arial"/>
          <w:sz w:val="20"/>
          <w:szCs w:val="20"/>
        </w:rPr>
        <w:t xml:space="preserve"> </w:t>
      </w:r>
      <w:r w:rsidRPr="00FA6B95">
        <w:rPr>
          <w:rFonts w:ascii="Arial" w:hAnsi="Arial" w:cs="Arial"/>
          <w:sz w:val="20"/>
          <w:szCs w:val="20"/>
        </w:rPr>
        <w:t>Daten zu verlangen. Auf Artikel 17 DS-GVO wird insoweit hingewiesen.</w:t>
      </w:r>
    </w:p>
    <w:p w14:paraId="0DC6FD56" w14:textId="77777777" w:rsidR="00905D73" w:rsidRPr="00FA6B95" w:rsidRDefault="00905D73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t>Sie können verlangen, die Verarbeitung Ihrer Daten unter bestimmten Voraussetzungen</w:t>
      </w:r>
      <w:r w:rsidR="003632C4" w:rsidRPr="00FA6B95">
        <w:rPr>
          <w:rFonts w:ascii="Arial" w:hAnsi="Arial" w:cs="Arial"/>
          <w:sz w:val="20"/>
          <w:szCs w:val="20"/>
        </w:rPr>
        <w:t xml:space="preserve"> </w:t>
      </w:r>
      <w:r w:rsidRPr="00FA6B95">
        <w:rPr>
          <w:rFonts w:ascii="Arial" w:hAnsi="Arial" w:cs="Arial"/>
          <w:sz w:val="20"/>
          <w:szCs w:val="20"/>
        </w:rPr>
        <w:t>einzuschränken (Artikel 18 DS-GVO).</w:t>
      </w:r>
    </w:p>
    <w:p w14:paraId="25F18C15" w14:textId="77777777" w:rsidR="005C37A1" w:rsidRPr="00FA6B95" w:rsidRDefault="005C37A1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t xml:space="preserve">Sie können bei Vorliegen bestimmter gesetzlicher Voraussetzungen der Verarbeitung personenbezogener Daten widersprechen (Artikel 21 DS-GVO) </w:t>
      </w:r>
    </w:p>
    <w:p w14:paraId="3E97D22D" w14:textId="77777777" w:rsidR="00905D73" w:rsidRPr="00FA6B95" w:rsidRDefault="00905D73" w:rsidP="00BE21CC">
      <w:pPr>
        <w:pStyle w:val="Listenabsatz"/>
        <w:numPr>
          <w:ilvl w:val="0"/>
          <w:numId w:val="2"/>
        </w:numPr>
        <w:spacing w:after="140"/>
        <w:contextualSpacing w:val="0"/>
        <w:rPr>
          <w:rFonts w:ascii="Arial" w:hAnsi="Arial" w:cs="Arial"/>
          <w:sz w:val="20"/>
          <w:szCs w:val="20"/>
        </w:rPr>
      </w:pPr>
      <w:r w:rsidRPr="00FA6B95">
        <w:rPr>
          <w:rFonts w:ascii="Arial" w:hAnsi="Arial" w:cs="Arial"/>
          <w:sz w:val="20"/>
          <w:szCs w:val="20"/>
        </w:rPr>
        <w:lastRenderedPageBreak/>
        <w:t xml:space="preserve">Sofern Sie der Ansicht sind, bei der Verarbeitung Ihrer </w:t>
      </w:r>
      <w:r w:rsidR="003632C4" w:rsidRPr="00FA6B95">
        <w:rPr>
          <w:rFonts w:ascii="Arial" w:hAnsi="Arial" w:cs="Arial"/>
          <w:sz w:val="20"/>
          <w:szCs w:val="20"/>
        </w:rPr>
        <w:t>personenbezogenen D</w:t>
      </w:r>
      <w:r w:rsidRPr="00FA6B95">
        <w:rPr>
          <w:rFonts w:ascii="Arial" w:hAnsi="Arial" w:cs="Arial"/>
          <w:sz w:val="20"/>
          <w:szCs w:val="20"/>
        </w:rPr>
        <w:t xml:space="preserve">aten in Ihren Rechten verletzt worden zu sein, haben Sie die Möglichkeit, sich an folgende Stellen zu wenden: </w:t>
      </w:r>
    </w:p>
    <w:p w14:paraId="500ACB21" w14:textId="5C53FF35" w:rsidR="00CC3C63" w:rsidRPr="00C7499C" w:rsidRDefault="001D28B7" w:rsidP="00CC3C63">
      <w:pPr>
        <w:spacing w:after="140"/>
        <w:ind w:left="3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905D73" w:rsidRPr="00BE21CC">
        <w:rPr>
          <w:rFonts w:ascii="Arial" w:hAnsi="Arial" w:cs="Arial"/>
          <w:sz w:val="20"/>
          <w:szCs w:val="20"/>
        </w:rPr>
        <w:t>Beauftragter für den Datenschutz beim Landratsamt</w:t>
      </w:r>
      <w:r w:rsidR="00CC3C63" w:rsidRPr="00CC3C63">
        <w:rPr>
          <w:rFonts w:ascii="Arial" w:hAnsi="Arial" w:cs="Arial"/>
          <w:sz w:val="20"/>
          <w:szCs w:val="20"/>
        </w:rPr>
        <w:t xml:space="preserve"> </w:t>
      </w:r>
      <w:r w:rsidR="00CC3C63">
        <w:rPr>
          <w:rFonts w:ascii="Arial" w:hAnsi="Arial" w:cs="Arial"/>
          <w:sz w:val="20"/>
          <w:szCs w:val="20"/>
        </w:rPr>
        <w:t>Esslingen, Pulverwiesen 11, 73728 Esslingen,</w:t>
      </w:r>
      <w:r w:rsidR="00CC3C63">
        <w:rPr>
          <w:rFonts w:ascii="Arial" w:hAnsi="Arial" w:cs="Arial"/>
          <w:sz w:val="20"/>
          <w:szCs w:val="20"/>
        </w:rPr>
        <w:br/>
      </w:r>
      <w:r w:rsidR="00CC3C63" w:rsidRPr="00C7499C">
        <w:rPr>
          <w:rFonts w:ascii="Arial" w:hAnsi="Arial" w:cs="Arial"/>
          <w:sz w:val="20"/>
          <w:szCs w:val="20"/>
        </w:rPr>
        <w:t>datenschutz@lra-es.de</w:t>
      </w:r>
    </w:p>
    <w:p w14:paraId="44842BA7" w14:textId="491F9997" w:rsidR="00905D73" w:rsidRPr="00BE21CC" w:rsidRDefault="001D28B7" w:rsidP="00BE21CC">
      <w:pPr>
        <w:spacing w:after="140"/>
        <w:ind w:left="3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05D73" w:rsidRPr="00BE21CC">
        <w:rPr>
          <w:rFonts w:ascii="Arial" w:hAnsi="Arial" w:cs="Arial"/>
          <w:sz w:val="20"/>
          <w:szCs w:val="20"/>
        </w:rPr>
        <w:t>Landesbeauftragter für den Datenschutz und die Informationsfreiheit Baden-Württemberg</w:t>
      </w:r>
      <w:r w:rsidR="00000E28" w:rsidRPr="00BE21CC">
        <w:rPr>
          <w:rFonts w:ascii="Arial" w:hAnsi="Arial" w:cs="Arial"/>
          <w:sz w:val="20"/>
          <w:szCs w:val="20"/>
        </w:rPr>
        <w:t xml:space="preserve">, </w:t>
      </w:r>
      <w:r w:rsidR="00235FEE">
        <w:rPr>
          <w:rFonts w:ascii="Arial" w:hAnsi="Arial" w:cs="Arial"/>
          <w:sz w:val="20"/>
          <w:szCs w:val="20"/>
        </w:rPr>
        <w:br/>
      </w:r>
      <w:r w:rsidR="00905D73" w:rsidRPr="00BE21CC">
        <w:rPr>
          <w:rFonts w:ascii="Arial" w:hAnsi="Arial" w:cs="Arial"/>
          <w:sz w:val="20"/>
          <w:szCs w:val="20"/>
        </w:rPr>
        <w:t>Postfach 10 29 32, 70025 Stuttgart</w:t>
      </w:r>
      <w:r w:rsidR="00000E28" w:rsidRPr="00BE21CC">
        <w:rPr>
          <w:rFonts w:ascii="Arial" w:hAnsi="Arial" w:cs="Arial"/>
          <w:sz w:val="20"/>
          <w:szCs w:val="20"/>
        </w:rPr>
        <w:t xml:space="preserve">, </w:t>
      </w:r>
      <w:r w:rsidR="00397368" w:rsidRPr="00BE21CC">
        <w:rPr>
          <w:rFonts w:ascii="Arial" w:hAnsi="Arial" w:cs="Arial"/>
          <w:sz w:val="20"/>
          <w:szCs w:val="20"/>
        </w:rPr>
        <w:t>Lautenschlagerstr. 20</w:t>
      </w:r>
      <w:r w:rsidR="00905D73" w:rsidRPr="00BE21CC">
        <w:rPr>
          <w:rFonts w:ascii="Arial" w:hAnsi="Arial" w:cs="Arial"/>
          <w:sz w:val="20"/>
          <w:szCs w:val="20"/>
        </w:rPr>
        <w:t>, 70173 Stuttgart</w:t>
      </w:r>
      <w:r w:rsidR="00000E28" w:rsidRPr="00BE21CC">
        <w:rPr>
          <w:rFonts w:ascii="Arial" w:hAnsi="Arial" w:cs="Arial"/>
          <w:sz w:val="20"/>
          <w:szCs w:val="20"/>
        </w:rPr>
        <w:t xml:space="preserve">. </w:t>
      </w:r>
      <w:r w:rsidR="00905D73" w:rsidRPr="00BE21CC">
        <w:rPr>
          <w:rFonts w:ascii="Arial" w:hAnsi="Arial" w:cs="Arial"/>
          <w:sz w:val="20"/>
          <w:szCs w:val="20"/>
        </w:rPr>
        <w:t>Tel.: 0711/61 55 41 – 0</w:t>
      </w:r>
    </w:p>
    <w:p w14:paraId="1D8B6BCE" w14:textId="7F0B451C" w:rsidR="00457DDF" w:rsidRPr="00BE21CC" w:rsidRDefault="00457DDF" w:rsidP="00BE21CC">
      <w:pPr>
        <w:rPr>
          <w:rFonts w:ascii="Arial" w:hAnsi="Arial" w:cs="Arial"/>
          <w:sz w:val="20"/>
          <w:szCs w:val="20"/>
        </w:rPr>
      </w:pPr>
    </w:p>
    <w:sectPr w:rsidR="00457DDF" w:rsidRPr="00BE21CC" w:rsidSect="00484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000" w:h="16000"/>
      <w:pgMar w:top="851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170E" w14:textId="77777777" w:rsidR="001A2EBA" w:rsidRDefault="001A2EBA" w:rsidP="00530FF5">
      <w:r>
        <w:separator/>
      </w:r>
    </w:p>
  </w:endnote>
  <w:endnote w:type="continuationSeparator" w:id="0">
    <w:p w14:paraId="1DC13E38" w14:textId="77777777" w:rsidR="001A2EBA" w:rsidRDefault="001A2EBA" w:rsidP="005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5AB" w14:textId="77777777" w:rsidR="006E387B" w:rsidRDefault="006E38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4E7E" w14:textId="01F37F5F" w:rsidR="008B7A4F" w:rsidRPr="0071466A" w:rsidRDefault="00F10EAA" w:rsidP="00F10EAA">
    <w:pPr>
      <w:pStyle w:val="Fuzeile"/>
      <w:tabs>
        <w:tab w:val="clear" w:pos="9072"/>
        <w:tab w:val="right" w:pos="9923"/>
      </w:tabs>
      <w:rPr>
        <w:rFonts w:ascii="Arial" w:hAnsi="Arial" w:cs="Arial"/>
        <w:sz w:val="20"/>
        <w:szCs w:val="20"/>
      </w:rPr>
    </w:pPr>
    <w:r w:rsidRPr="00F10EAA">
      <w:rPr>
        <w:rFonts w:ascii="Arial" w:hAnsi="Arial" w:cs="Arial"/>
        <w:sz w:val="16"/>
        <w:szCs w:val="16"/>
      </w:rPr>
      <w:t>Fassung RP</w:t>
    </w:r>
    <w:r w:rsidR="00FF0DE1">
      <w:rPr>
        <w:rFonts w:ascii="Arial" w:hAnsi="Arial" w:cs="Arial"/>
        <w:sz w:val="16"/>
        <w:szCs w:val="16"/>
      </w:rPr>
      <w:t>S</w:t>
    </w:r>
    <w:r w:rsidRPr="00F10EAA">
      <w:rPr>
        <w:rFonts w:ascii="Arial" w:hAnsi="Arial" w:cs="Arial"/>
        <w:sz w:val="16"/>
        <w:szCs w:val="16"/>
      </w:rPr>
      <w:t xml:space="preserve">33 </w:t>
    </w:r>
    <w:r w:rsidRPr="00F10EAA">
      <w:rPr>
        <w:rFonts w:ascii="Arial" w:hAnsi="Arial" w:cs="Arial"/>
        <w:sz w:val="16"/>
        <w:szCs w:val="16"/>
      </w:rPr>
      <w:fldChar w:fldCharType="begin"/>
    </w:r>
    <w:r w:rsidRPr="00F10EAA">
      <w:rPr>
        <w:rFonts w:ascii="Arial" w:hAnsi="Arial" w:cs="Arial"/>
        <w:sz w:val="16"/>
        <w:szCs w:val="16"/>
      </w:rPr>
      <w:instrText xml:space="preserve"> SAVEDATE  \@ "dd.MM.yyyy" \* MERGEFORMAT </w:instrText>
    </w:r>
    <w:r w:rsidRPr="00F10EAA">
      <w:rPr>
        <w:rFonts w:ascii="Arial" w:hAnsi="Arial" w:cs="Arial"/>
        <w:sz w:val="16"/>
        <w:szCs w:val="16"/>
      </w:rPr>
      <w:fldChar w:fldCharType="separate"/>
    </w:r>
    <w:r w:rsidR="001F2DBD">
      <w:rPr>
        <w:rFonts w:ascii="Arial" w:hAnsi="Arial" w:cs="Arial"/>
        <w:noProof/>
        <w:sz w:val="16"/>
        <w:szCs w:val="16"/>
      </w:rPr>
      <w:t>23.10.2024</w:t>
    </w:r>
    <w:r w:rsidRPr="00F10EA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66A">
      <w:rPr>
        <w:rFonts w:ascii="Arial" w:hAnsi="Arial" w:cs="Arial"/>
        <w:sz w:val="20"/>
        <w:szCs w:val="20"/>
      </w:rPr>
      <w:t xml:space="preserve">Seite </w:t>
    </w:r>
    <w:r w:rsidR="0071466A">
      <w:rPr>
        <w:rFonts w:ascii="Arial" w:hAnsi="Arial" w:cs="Arial"/>
        <w:sz w:val="20"/>
        <w:szCs w:val="20"/>
      </w:rPr>
      <w:fldChar w:fldCharType="begin"/>
    </w:r>
    <w:r w:rsidR="0071466A">
      <w:rPr>
        <w:rFonts w:ascii="Arial" w:hAnsi="Arial" w:cs="Arial"/>
        <w:sz w:val="20"/>
        <w:szCs w:val="20"/>
      </w:rPr>
      <w:instrText xml:space="preserve"> PAGE   \* MERGEFORMAT </w:instrText>
    </w:r>
    <w:r w:rsidR="0071466A">
      <w:rPr>
        <w:rFonts w:ascii="Arial" w:hAnsi="Arial" w:cs="Arial"/>
        <w:sz w:val="20"/>
        <w:szCs w:val="20"/>
      </w:rPr>
      <w:fldChar w:fldCharType="separate"/>
    </w:r>
    <w:r w:rsidR="00FF0DE1">
      <w:rPr>
        <w:rFonts w:ascii="Arial" w:hAnsi="Arial" w:cs="Arial"/>
        <w:noProof/>
        <w:sz w:val="20"/>
        <w:szCs w:val="20"/>
      </w:rPr>
      <w:t>4</w:t>
    </w:r>
    <w:r w:rsidR="0071466A">
      <w:rPr>
        <w:rFonts w:ascii="Arial" w:hAnsi="Arial" w:cs="Arial"/>
        <w:sz w:val="20"/>
        <w:szCs w:val="20"/>
      </w:rPr>
      <w:fldChar w:fldCharType="end"/>
    </w:r>
    <w:r w:rsidR="0071466A">
      <w:rPr>
        <w:rFonts w:ascii="Arial" w:hAnsi="Arial" w:cs="Arial"/>
        <w:sz w:val="20"/>
        <w:szCs w:val="20"/>
      </w:rPr>
      <w:t xml:space="preserve"> von </w:t>
    </w:r>
    <w:r w:rsidR="0071466A">
      <w:rPr>
        <w:rFonts w:ascii="Arial" w:hAnsi="Arial" w:cs="Arial"/>
        <w:sz w:val="20"/>
        <w:szCs w:val="20"/>
      </w:rPr>
      <w:fldChar w:fldCharType="begin"/>
    </w:r>
    <w:r w:rsidR="0071466A">
      <w:rPr>
        <w:rFonts w:ascii="Arial" w:hAnsi="Arial" w:cs="Arial"/>
        <w:sz w:val="20"/>
        <w:szCs w:val="20"/>
      </w:rPr>
      <w:instrText xml:space="preserve"> NUMPAGES   \* MERGEFORMAT </w:instrText>
    </w:r>
    <w:r w:rsidR="0071466A">
      <w:rPr>
        <w:rFonts w:ascii="Arial" w:hAnsi="Arial" w:cs="Arial"/>
        <w:sz w:val="20"/>
        <w:szCs w:val="20"/>
      </w:rPr>
      <w:fldChar w:fldCharType="separate"/>
    </w:r>
    <w:r w:rsidR="00FF0DE1">
      <w:rPr>
        <w:rFonts w:ascii="Arial" w:hAnsi="Arial" w:cs="Arial"/>
        <w:noProof/>
        <w:sz w:val="20"/>
        <w:szCs w:val="20"/>
      </w:rPr>
      <w:t>4</w:t>
    </w:r>
    <w:r w:rsidR="0071466A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3205" w14:textId="77777777" w:rsidR="006E387B" w:rsidRDefault="006E38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A83C" w14:textId="77777777" w:rsidR="001A2EBA" w:rsidRDefault="001A2EBA" w:rsidP="00530FF5">
      <w:r>
        <w:separator/>
      </w:r>
    </w:p>
  </w:footnote>
  <w:footnote w:type="continuationSeparator" w:id="0">
    <w:p w14:paraId="3982FE86" w14:textId="77777777" w:rsidR="001A2EBA" w:rsidRDefault="001A2EBA" w:rsidP="0053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A8E" w14:textId="77777777" w:rsidR="006E387B" w:rsidRDefault="006E38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A63D" w14:textId="77777777" w:rsidR="006E387B" w:rsidRDefault="006E38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0FCE" w14:textId="77777777" w:rsidR="006E387B" w:rsidRDefault="006E38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AC0E26"/>
    <w:multiLevelType w:val="hybridMultilevel"/>
    <w:tmpl w:val="36E7C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7122F"/>
    <w:multiLevelType w:val="hybridMultilevel"/>
    <w:tmpl w:val="8090A872"/>
    <w:lvl w:ilvl="0" w:tplc="DAF2F8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EBA86D0"/>
    <w:multiLevelType w:val="hybridMultilevel"/>
    <w:tmpl w:val="BCCDBC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9B81CC"/>
    <w:multiLevelType w:val="hybridMultilevel"/>
    <w:tmpl w:val="66E1B8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C20DE3"/>
    <w:multiLevelType w:val="hybridMultilevel"/>
    <w:tmpl w:val="E0B58E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224FFE"/>
    <w:multiLevelType w:val="multilevel"/>
    <w:tmpl w:val="79902D66"/>
    <w:lvl w:ilvl="0">
      <w:start w:val="1"/>
      <w:numFmt w:val="decimal"/>
      <w:lvlText w:val="1%1"/>
      <w:lvlJc w:val="left"/>
      <w:pPr>
        <w:ind w:left="0"/>
      </w:pPr>
      <w:rPr>
        <w:rFonts w:ascii="Arial" w:hAnsi="Arial" w:hint="default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%3."/>
      <w:lvlJc w:val="left"/>
      <w:pPr>
        <w:ind w:left="1080"/>
      </w:pPr>
      <w:rPr>
        <w:rFonts w:hint="default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06367A"/>
    <w:multiLevelType w:val="hybridMultilevel"/>
    <w:tmpl w:val="A11AE6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525533">
    <w:abstractNumId w:val="5"/>
  </w:num>
  <w:num w:numId="2" w16cid:durableId="1200123423">
    <w:abstractNumId w:val="6"/>
  </w:num>
  <w:num w:numId="3" w16cid:durableId="1272009191">
    <w:abstractNumId w:val="1"/>
  </w:num>
  <w:num w:numId="4" w16cid:durableId="1458375483">
    <w:abstractNumId w:val="5"/>
  </w:num>
  <w:num w:numId="5" w16cid:durableId="1920402776">
    <w:abstractNumId w:val="5"/>
  </w:num>
  <w:num w:numId="6" w16cid:durableId="2124374201">
    <w:abstractNumId w:val="5"/>
  </w:num>
  <w:num w:numId="7" w16cid:durableId="1527211907">
    <w:abstractNumId w:val="5"/>
  </w:num>
  <w:num w:numId="8" w16cid:durableId="1250503413">
    <w:abstractNumId w:val="2"/>
  </w:num>
  <w:num w:numId="9" w16cid:durableId="1694840006">
    <w:abstractNumId w:val="0"/>
  </w:num>
  <w:num w:numId="10" w16cid:durableId="280768878">
    <w:abstractNumId w:val="4"/>
  </w:num>
  <w:num w:numId="11" w16cid:durableId="63264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14"/>
    <w:rsid w:val="00000E28"/>
    <w:rsid w:val="0006233E"/>
    <w:rsid w:val="000B506E"/>
    <w:rsid w:val="000C21BF"/>
    <w:rsid w:val="000D670D"/>
    <w:rsid w:val="000F1956"/>
    <w:rsid w:val="000F6B77"/>
    <w:rsid w:val="001131FD"/>
    <w:rsid w:val="001242C6"/>
    <w:rsid w:val="00131472"/>
    <w:rsid w:val="00132A86"/>
    <w:rsid w:val="00160610"/>
    <w:rsid w:val="001A2EBA"/>
    <w:rsid w:val="001B1D4D"/>
    <w:rsid w:val="001B4EC6"/>
    <w:rsid w:val="001C4744"/>
    <w:rsid w:val="001D28B7"/>
    <w:rsid w:val="001E4AA5"/>
    <w:rsid w:val="001F2DBD"/>
    <w:rsid w:val="00235FEE"/>
    <w:rsid w:val="00237AE4"/>
    <w:rsid w:val="00304905"/>
    <w:rsid w:val="00315450"/>
    <w:rsid w:val="0035267C"/>
    <w:rsid w:val="003632C4"/>
    <w:rsid w:val="00397368"/>
    <w:rsid w:val="003A3EA0"/>
    <w:rsid w:val="003D06EC"/>
    <w:rsid w:val="003D3A9B"/>
    <w:rsid w:val="003D4198"/>
    <w:rsid w:val="00403251"/>
    <w:rsid w:val="00416BBE"/>
    <w:rsid w:val="00457DDF"/>
    <w:rsid w:val="00461E41"/>
    <w:rsid w:val="0048442A"/>
    <w:rsid w:val="004C27F4"/>
    <w:rsid w:val="004D5FC9"/>
    <w:rsid w:val="004D60F3"/>
    <w:rsid w:val="004E448E"/>
    <w:rsid w:val="00530FF5"/>
    <w:rsid w:val="005421DC"/>
    <w:rsid w:val="005552BD"/>
    <w:rsid w:val="005C37A1"/>
    <w:rsid w:val="00612735"/>
    <w:rsid w:val="00616A16"/>
    <w:rsid w:val="006373B4"/>
    <w:rsid w:val="006557D5"/>
    <w:rsid w:val="00671131"/>
    <w:rsid w:val="006975DE"/>
    <w:rsid w:val="006C27CA"/>
    <w:rsid w:val="006C6E30"/>
    <w:rsid w:val="006E387B"/>
    <w:rsid w:val="006F11BD"/>
    <w:rsid w:val="0071466A"/>
    <w:rsid w:val="007B2D74"/>
    <w:rsid w:val="007E20B0"/>
    <w:rsid w:val="007E2E8E"/>
    <w:rsid w:val="007E7D49"/>
    <w:rsid w:val="007F6D9F"/>
    <w:rsid w:val="00832AF1"/>
    <w:rsid w:val="00895585"/>
    <w:rsid w:val="008A4C32"/>
    <w:rsid w:val="008B7A4F"/>
    <w:rsid w:val="00905D73"/>
    <w:rsid w:val="009151F2"/>
    <w:rsid w:val="009848F2"/>
    <w:rsid w:val="009F0612"/>
    <w:rsid w:val="00A34AE0"/>
    <w:rsid w:val="00A52D4F"/>
    <w:rsid w:val="00AC2014"/>
    <w:rsid w:val="00AD2951"/>
    <w:rsid w:val="00AD2CE6"/>
    <w:rsid w:val="00AF4A03"/>
    <w:rsid w:val="00B1237C"/>
    <w:rsid w:val="00B63493"/>
    <w:rsid w:val="00B71937"/>
    <w:rsid w:val="00BD30FB"/>
    <w:rsid w:val="00BD3788"/>
    <w:rsid w:val="00BE21CC"/>
    <w:rsid w:val="00BE3D8D"/>
    <w:rsid w:val="00BF1A0A"/>
    <w:rsid w:val="00BF532D"/>
    <w:rsid w:val="00C13AA2"/>
    <w:rsid w:val="00C47CDD"/>
    <w:rsid w:val="00C66015"/>
    <w:rsid w:val="00C952C3"/>
    <w:rsid w:val="00CC3C63"/>
    <w:rsid w:val="00CC44AE"/>
    <w:rsid w:val="00D165A0"/>
    <w:rsid w:val="00D41508"/>
    <w:rsid w:val="00D62C4C"/>
    <w:rsid w:val="00DE0E91"/>
    <w:rsid w:val="00E072F7"/>
    <w:rsid w:val="00E40197"/>
    <w:rsid w:val="00E561CE"/>
    <w:rsid w:val="00EB5C5E"/>
    <w:rsid w:val="00EC352D"/>
    <w:rsid w:val="00EE795B"/>
    <w:rsid w:val="00F04658"/>
    <w:rsid w:val="00F10EAA"/>
    <w:rsid w:val="00FA6B95"/>
    <w:rsid w:val="00FA7022"/>
    <w:rsid w:val="00FB2F4A"/>
    <w:rsid w:val="00FB42D0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7504B"/>
  <w15:docId w15:val="{D80D7787-FC00-44F0-BF81-7C7DDE0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FF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1E4AA5"/>
    <w:pPr>
      <w:keepNext/>
      <w:keepLines/>
      <w:ind w:left="284" w:hanging="284"/>
      <w:outlineLvl w:val="0"/>
    </w:pPr>
    <w:rPr>
      <w:rFonts w:ascii="Arial" w:hAnsi="Arial"/>
      <w:b/>
      <w:color w:val="181717"/>
      <w:sz w:val="2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8442A"/>
    <w:pPr>
      <w:spacing w:before="120"/>
      <w:ind w:left="709" w:hanging="425"/>
      <w:outlineLvl w:val="1"/>
    </w:pPr>
    <w:rPr>
      <w:rFonts w:cs="Arial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48442A"/>
    <w:pPr>
      <w:spacing w:before="120"/>
      <w:ind w:left="993"/>
      <w:outlineLvl w:val="2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E4AA5"/>
    <w:rPr>
      <w:rFonts w:ascii="Arial" w:eastAsia="Calibri" w:hAnsi="Arial" w:cs="Calibri"/>
      <w:b/>
      <w:color w:val="181717"/>
      <w:sz w:val="20"/>
    </w:rPr>
  </w:style>
  <w:style w:type="character" w:customStyle="1" w:styleId="berschrift2Zchn">
    <w:name w:val="Überschrift 2 Zchn"/>
    <w:link w:val="berschrift2"/>
    <w:uiPriority w:val="9"/>
    <w:rsid w:val="0048442A"/>
    <w:rPr>
      <w:rFonts w:ascii="Arial" w:eastAsia="Calibri" w:hAnsi="Arial" w:cs="Arial"/>
      <w:b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B7A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7A4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B7A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7A4F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4D5FC9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8442A"/>
    <w:rPr>
      <w:rFonts w:ascii="Arial" w:eastAsia="Calibri" w:hAnsi="Arial" w:cs="Arial"/>
      <w:b/>
      <w:color w:val="181717"/>
      <w:sz w:val="20"/>
    </w:rPr>
  </w:style>
  <w:style w:type="paragraph" w:styleId="KeinLeerraum">
    <w:name w:val="No Spacing"/>
    <w:uiPriority w:val="1"/>
    <w:qFormat/>
    <w:rsid w:val="00E561C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905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5D73"/>
    <w:rPr>
      <w:color w:val="auto"/>
    </w:rPr>
  </w:style>
  <w:style w:type="paragraph" w:customStyle="1" w:styleId="CM7">
    <w:name w:val="CM7"/>
    <w:basedOn w:val="Default"/>
    <w:next w:val="Default"/>
    <w:uiPriority w:val="99"/>
    <w:rsid w:val="00905D73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5D73"/>
    <w:pPr>
      <w:spacing w:line="346" w:lineRule="atLeast"/>
    </w:pPr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2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32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32C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2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2C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2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2C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00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EB4B-516D-4BB6-87A0-F313962F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Meldung_Kupfererhöhung_2014.indd</vt:lpstr>
    </vt:vector>
  </TitlesOfParts>
  <Company>BITBW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Meldung_Kupfererhöhung_2014.indd</dc:title>
  <dc:subject/>
  <dc:creator>Steinmetz, Volker Dr. (RPF)</dc:creator>
  <cp:keywords/>
  <cp:lastModifiedBy>Rieger Gerdi</cp:lastModifiedBy>
  <cp:revision>2</cp:revision>
  <dcterms:created xsi:type="dcterms:W3CDTF">2024-10-24T08:49:00Z</dcterms:created>
  <dcterms:modified xsi:type="dcterms:W3CDTF">2024-10-24T08:49:00Z</dcterms:modified>
</cp:coreProperties>
</file>